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Xml/palmeraFieldsProps.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color w:val="0067B9"/>
          <w:sz w:val="34"/>
          <w:szCs w:val="40"/>
          <w:lang w:val="en-US"/>
        </w:rPr>
      </w:pPr>
      <w:bookmarkStart w:id="0" w:name="_Toc110068612"/>
      <w:r>
        <w:rPr>
          <w:rFonts w:cs="Arial" w:ascii="Arial" w:hAnsi="Arial"/>
          <w:b/>
          <w:color w:val="0067B9"/>
          <w:sz w:val="34"/>
          <w:szCs w:val="40"/>
          <w:lang w:val="en-US"/>
        </w:rPr>
        <w:t xml:space="preserve">Reimbursement Review </w:t>
      </w:r>
      <w:bookmarkEnd w:id="0"/>
    </w:p>
    <w:p>
      <w:pPr>
        <w:pStyle w:val="Normal"/>
        <w:rPr>
          <w:rFonts w:ascii="Arial" w:hAnsi="Arial" w:cs="Arial"/>
          <w:b/>
          <w:color w:val="0067B9"/>
          <w:sz w:val="34"/>
          <w:szCs w:val="34"/>
          <w:lang w:val="en-US"/>
        </w:rPr>
      </w:pPr>
      <w:r>
        <w:rPr>
          <w:rFonts w:cs="Arial" w:ascii="Arial" w:hAnsi="Arial"/>
          <w:b/>
          <w:color w:val="0067B9"/>
          <w:sz w:val="34"/>
          <w:szCs w:val="34"/>
          <w:lang w:val="en-US"/>
        </w:rPr>
        <w:t xml:space="preserve">Sponsor </w:t>
      </w:r>
      <w:r>
        <w:rPr>
          <w:rFonts w:cs="Arial" w:ascii="Arial" w:hAnsi="Arial"/>
          <w:b/>
          <w:bCs/>
          <w:color w:val="0067B9"/>
          <w:sz w:val="34"/>
          <w:szCs w:val="34"/>
          <w:lang w:val="en-US"/>
        </w:rPr>
        <w:t xml:space="preserve">Summary </w:t>
      </w:r>
      <w:r>
        <w:rPr>
          <w:rFonts w:cs="Arial" w:ascii="Arial" w:hAnsi="Arial"/>
          <w:b/>
          <w:color w:val="0067B9"/>
          <w:sz w:val="34"/>
          <w:szCs w:val="34"/>
          <w:lang w:val="en-US"/>
        </w:rPr>
        <w:t>Template</w:t>
      </w:r>
    </w:p>
    <w:p>
      <w:pPr>
        <w:pStyle w:val="BodyCopyWorking"/>
        <w:keepNext w:val="0"/>
      </w:pPr>
      <w:sdt>
        <w:sdtPr>
          <w:alias w:val="Completed response — Completed from the supplied STEP 1 CSR only. Citations use the pr"/>
          <w:id w:val="1900000000"/>
        </w:sdtPr>
        <w:sdtContent>
          <w:r>
            <w:rPr>
              <w:rFonts w:ascii="Arial" w:hAnsi="Arial"/>
              <w:color w:val="000000"/>
              <w:sz w:val="20"/>
            </w:rPr>
            <w:t>Completed from the supplied STEP 1 CSR only. Citations use the printed “Report body” page number (the “of 6980” sequence), not the separate “Text part” numbering; cited main-report and end-of-text-table pages match PDF page positions. “Not reported” identifies a source gap, not a negative clinical finding; scope citations locate what this CSR covers. Original headings, fields and instructions are retained as requested. (CSR pp. 1-3, 32, 35-36.)</w:t>
          </w:r>
        </w:sdtContent>
      </w:sdt>
    </w:p>
    <w:p>
      <w:pPr>
        <w:pStyle w:val="Normal"/>
        <w:spacing w:before="240" w:after="0"/>
        <w:rPr>
          <w:rFonts w:ascii="Arial" w:hAnsi="Arial" w:cs="Arial"/>
          <w:b/>
          <w:bCs/>
          <w:color w:val="0067B9"/>
        </w:rPr>
      </w:pPr>
      <w:r>
        <w:rPr>
          <w:rFonts w:cs="Arial" w:ascii="Arial" w:hAnsi="Arial"/>
          <w:b/>
          <w:bCs/>
          <w:color w:val="0067B9"/>
        </w:rPr>
        <w:t>Instructions for Sponsors</w:t>
      </w:r>
    </w:p>
    <w:p>
      <w:pPr>
        <w:pStyle w:val="Subheadinglvl1Working"/>
        <w:tabs>
          <w:tab w:val="clear" w:pos="720"/>
          <w:tab w:val="left" w:pos="4140" w:leader="none"/>
        </w:tabs>
        <w:rPr>
          <w:color w:val="0067B9"/>
        </w:rPr>
      </w:pPr>
      <w:r>
        <w:rPr>
          <w:color w:val="0067B9"/>
        </w:rPr>
        <w:t>Background</w:t>
        <w:tab/>
      </w:r>
    </w:p>
    <w:p>
      <w:pPr>
        <w:pStyle w:val="Normal"/>
        <w:spacing w:lineRule="auto" w:line="276"/>
        <w:rPr>
          <w:rFonts w:ascii="Arial" w:hAnsi="Arial" w:cs="Arial"/>
          <w:sz w:val="22"/>
          <w:szCs w:val="22"/>
        </w:rPr>
      </w:pPr>
      <w:r>
        <w:rPr>
          <w:rFonts w:cs="Arial" w:ascii="Arial" w:hAnsi="Arial"/>
          <w:sz w:val="22"/>
          <w:szCs w:val="22"/>
        </w:rPr>
        <w:t xml:space="preserve">Please read the instructions below and consult the recommended documentation before completing the template. If you have any questions regarding the application process, please </w:t>
      </w:r>
      <w:hyperlink r:id="rId2">
        <w:r>
          <w:rPr>
            <w:rStyle w:val="Hyperlink"/>
            <w:rFonts w:cs="Arial" w:ascii="Arial" w:hAnsi="Arial"/>
            <w:sz w:val="22"/>
            <w:szCs w:val="22"/>
          </w:rPr>
          <w:t>contact us</w:t>
        </w:r>
      </w:hyperlink>
      <w:r>
        <w:rPr>
          <w:rStyle w:val="Hyperlink"/>
          <w:rFonts w:cs="Arial" w:ascii="Arial" w:hAnsi="Arial"/>
          <w:sz w:val="22"/>
          <w:szCs w:val="22"/>
          <w:u w:val="none"/>
        </w:rPr>
        <w:t xml:space="preserve"> </w:t>
      </w:r>
      <w:r>
        <w:rPr>
          <w:rFonts w:cs="Arial" w:ascii="Arial" w:hAnsi="Arial"/>
          <w:sz w:val="22"/>
          <w:szCs w:val="22"/>
        </w:rPr>
        <w:t xml:space="preserve">with the complete details of your question(s). Please note that the completed document will not be posted on the CDA-AMC website. CDA-AMC will use this document as one of the considerations when preparing the review report.  </w:t>
      </w:r>
    </w:p>
    <w:p>
      <w:pPr>
        <w:pStyle w:val="Subheadinglvl1Working"/>
        <w:rPr>
          <w:color w:val="0067B9"/>
        </w:rPr>
      </w:pPr>
      <w:r>
        <w:rPr>
          <w:color w:val="0067B9"/>
        </w:rPr>
        <w:t>Before Completing the Template</w:t>
      </w:r>
    </w:p>
    <w:p>
      <w:pPr>
        <w:pStyle w:val="BodyCopyWorking"/>
        <w:rPr>
          <w:sz w:val="20"/>
          <w:szCs w:val="20"/>
          <w:lang w:val="en-CA"/>
        </w:rPr>
      </w:pPr>
      <w:bookmarkStart w:id="1" w:name="_Hlk26257215"/>
      <w:r>
        <w:rPr>
          <w:sz w:val="20"/>
          <w:szCs w:val="20"/>
          <w:lang w:val="en-CA"/>
        </w:rPr>
        <w:t>Please review the following documents to ensure an understanding of the procedures and submission guidelines:</w:t>
      </w:r>
      <w:bookmarkEnd w:id="1"/>
    </w:p>
    <w:p>
      <w:pPr>
        <w:pStyle w:val="Bulletslvl1Working"/>
        <w:numPr>
          <w:ilvl w:val="0"/>
          <w:numId w:val="9"/>
        </w:numPr>
        <w:rPr>
          <w:color w:val="0067B9"/>
          <w:sz w:val="20"/>
          <w:szCs w:val="20"/>
          <w:u w:val="single"/>
        </w:rPr>
      </w:pPr>
      <w:hyperlink r:id="rId3">
        <w:bookmarkStart w:id="2" w:name="_Hlk72338330"/>
        <w:r>
          <w:rPr>
            <w:rStyle w:val="Style"/>
            <w:color w:val="0000FF"/>
            <w:sz w:val="20"/>
            <w:szCs w:val="20"/>
            <w:u w:val="single"/>
          </w:rPr>
          <w:t>Procedures for Reimbursement Reviews</w:t>
        </w:r>
      </w:hyperlink>
      <w:r>
        <w:rPr>
          <w:color w:val="0067B9"/>
          <w:sz w:val="20"/>
          <w:szCs w:val="20"/>
          <w:u w:val="single"/>
        </w:rPr>
        <w:t xml:space="preserve"> </w:t>
      </w:r>
      <w:bookmarkEnd w:id="2"/>
    </w:p>
    <w:p>
      <w:pPr>
        <w:pStyle w:val="Bulletslvl1Working"/>
        <w:numPr>
          <w:ilvl w:val="0"/>
          <w:numId w:val="9"/>
        </w:numPr>
        <w:rPr>
          <w:color w:val="auto"/>
          <w:sz w:val="20"/>
          <w:szCs w:val="20"/>
        </w:rPr>
      </w:pPr>
      <w:r>
        <w:rPr>
          <w:color w:val="auto"/>
          <w:sz w:val="20"/>
          <w:szCs w:val="20"/>
        </w:rPr>
        <w:t>Pharmaceutical Review Updates for any applicable information.</w:t>
      </w:r>
    </w:p>
    <w:p>
      <w:pPr>
        <w:pStyle w:val="Subheadinglvl1Working"/>
        <w:rPr>
          <w:color w:val="0067B9"/>
        </w:rPr>
      </w:pPr>
      <w:r>
        <w:rPr>
          <w:color w:val="0067B9"/>
        </w:rPr>
        <w:t>Completing the Template</w:t>
      </w:r>
    </w:p>
    <w:p>
      <w:pPr>
        <w:pStyle w:val="BodyCopyCADTH"/>
        <w:spacing w:before="0" w:after="0"/>
        <w:ind w:start="0"/>
        <w:rPr>
          <w:b/>
          <w:bCs/>
          <w:sz w:val="20"/>
          <w:szCs w:val="20"/>
          <w:lang w:val="en-CA" w:eastAsia="en-CA"/>
        </w:rPr>
      </w:pPr>
      <w:r>
        <w:rPr>
          <w:b/>
          <w:bCs/>
          <w:sz w:val="20"/>
          <w:szCs w:val="20"/>
          <w:lang w:val="en-CA" w:eastAsia="en-CA"/>
        </w:rPr>
        <w:t>General Guidelines</w:t>
      </w:r>
    </w:p>
    <w:p>
      <w:pPr>
        <w:pStyle w:val="BodyCopyWorking"/>
        <w:rPr>
          <w:sz w:val="20"/>
          <w:szCs w:val="20"/>
        </w:rPr>
      </w:pPr>
      <w:r>
        <w:rPr>
          <w:sz w:val="20"/>
          <w:szCs w:val="20"/>
        </w:rPr>
        <w:t xml:space="preserve">Complete all sections of the template using 10-point Arial font type in text and 9-pont Arial font in tables. Include figure and table numbers and provide a list of figures and a list of tables after the table of contents. Data should reflect the results reported in the clinical study report(s) whenever possible. Do not exceed the page limitations where noted. </w:t>
      </w:r>
    </w:p>
    <w:p>
      <w:pPr>
        <w:pStyle w:val="BodyCopyWorking"/>
        <w:rPr>
          <w:sz w:val="20"/>
          <w:szCs w:val="20"/>
        </w:rPr>
      </w:pPr>
      <w:r>
        <w:rPr>
          <w:sz w:val="20"/>
          <w:szCs w:val="20"/>
        </w:rPr>
        <w:t xml:space="preserve">Provide clear references to source documentation (including citations and corresponding table and figure numbers from data sources) used when completing the template. In-text citations to sponsor references must be referenced numerically in order of appearance using superscript numbers. </w:t>
      </w:r>
      <w:bookmarkStart w:id="3" w:name="_Hlk95393079"/>
      <w:r>
        <w:rPr>
          <w:sz w:val="20"/>
          <w:szCs w:val="20"/>
        </w:rPr>
        <w:t xml:space="preserve">The sponsor must provide an RIS file containing the references used in the report. A RIS file is a standardized bibliographic format that enables citation management programs to exchange documents. </w:t>
      </w:r>
      <w:bookmarkEnd w:id="3"/>
    </w:p>
    <w:p>
      <w:pPr>
        <w:pStyle w:val="InstructionsWorking"/>
        <w:numPr>
          <w:ilvl w:val="0"/>
          <w:numId w:val="0"/>
        </w:numPr>
        <w:ind w:hanging="0" w:start="0"/>
        <w:rPr>
          <w:color w:val="auto"/>
          <w:sz w:val="20"/>
          <w:szCs w:val="20"/>
        </w:rPr>
      </w:pPr>
      <w:r>
        <w:rPr>
          <w:color w:val="auto"/>
          <w:sz w:val="20"/>
          <w:szCs w:val="20"/>
        </w:rPr>
        <w:t>When the template is complete, delete this cover page with the instructions CDA-AMC and the record of updates section, delete all red font instructions through the template. Please feel free to add company-specific elements such as a cover page, disclaimer, header, footer, etc. as required. Save and submit the completed template as a Word document.</w:t>
      </w:r>
    </w:p>
    <w:p>
      <w:pPr>
        <w:pStyle w:val="BodyCopyCADTH"/>
        <w:spacing w:before="0" w:after="0"/>
        <w:ind w:start="0"/>
        <w:rPr>
          <w:b/>
          <w:bCs/>
          <w:sz w:val="20"/>
          <w:szCs w:val="20"/>
          <w:lang w:val="en-CA" w:eastAsia="en-CA"/>
        </w:rPr>
      </w:pPr>
      <w:r>
        <w:rPr>
          <w:b/>
          <w:bCs/>
          <w:sz w:val="20"/>
          <w:szCs w:val="20"/>
          <w:lang w:val="en-CA" w:eastAsia="en-CA"/>
        </w:rPr>
        <w:t xml:space="preserve">Section 1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key background information regarding the drug under review and the condition for which the drug under review is indicated. Please ensure that statements are appropriately referenced.</w:t>
      </w:r>
    </w:p>
    <w:p>
      <w:pPr>
        <w:pStyle w:val="BodyCopyCADTH"/>
        <w:spacing w:before="0" w:after="0"/>
        <w:ind w:start="0"/>
        <w:rPr>
          <w:b/>
          <w:bCs/>
          <w:sz w:val="20"/>
          <w:szCs w:val="20"/>
          <w:lang w:val="en-CA" w:eastAsia="en-CA"/>
        </w:rPr>
      </w:pPr>
      <w:r>
        <w:rPr>
          <w:b/>
          <w:bCs/>
          <w:sz w:val="20"/>
          <w:szCs w:val="20"/>
          <w:lang w:val="en-CA" w:eastAsia="en-CA"/>
        </w:rPr>
        <w:t xml:space="preserve">Section 2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the results from a systemic literature review. The literature review must be conducted and reported in accordance with the instructions provided within this template.</w:t>
      </w:r>
    </w:p>
    <w:p>
      <w:pPr>
        <w:pStyle w:val="BodyCopyCADTH"/>
        <w:spacing w:before="0" w:after="0"/>
        <w:ind w:start="0"/>
        <w:rPr>
          <w:b/>
          <w:bCs/>
          <w:sz w:val="20"/>
          <w:szCs w:val="20"/>
          <w:lang w:val="en-CA" w:eastAsia="en-CA"/>
        </w:rPr>
      </w:pPr>
      <w:r>
        <w:rPr>
          <w:b/>
          <w:bCs/>
          <w:sz w:val="20"/>
          <w:szCs w:val="20"/>
          <w:lang w:val="en-CA" w:eastAsia="en-CA"/>
        </w:rPr>
        <w:t xml:space="preserve">Section 3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 xml:space="preserve">In this section the sponsor is required to summarize long-term extension studies. The sponsor should ensure that all source documentation, including the clinical study report (if available), are included in the application materials. If data from long-term extension studies are not available at the time of filing the application, this should be noted within this section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 xml:space="preserve">Section 4 </w:t>
      </w:r>
    </w:p>
    <w:p>
      <w:pPr>
        <w:pStyle w:val="InstructionsWorking"/>
        <w:numPr>
          <w:ilvl w:val="0"/>
          <w:numId w:val="0"/>
        </w:numPr>
        <w:spacing w:before="60" w:after="120"/>
        <w:ind w:hanging="0" w:start="0"/>
        <w:rPr>
          <w:color w:val="auto"/>
          <w:sz w:val="20"/>
          <w:szCs w:val="20"/>
          <w:lang w:val="en-CA" w:eastAsia="en-CA"/>
        </w:rPr>
      </w:pPr>
      <w:bookmarkStart w:id="4" w:name="_Hlk127878719"/>
      <w:r>
        <w:rPr>
          <w:color w:val="auto"/>
          <w:sz w:val="20"/>
          <w:szCs w:val="20"/>
          <w:lang w:val="en-CA" w:eastAsia="en-CA"/>
        </w:rPr>
        <w:t xml:space="preserve">In this section of the template the sponsor must summarize all indirect comparisons that have been included in the application (i.e., to support comparative efficacy or safety and/or the assumptions in the pharmacoeconomic model). </w:t>
      </w:r>
      <w:bookmarkEnd w:id="4"/>
      <w:r>
        <w:rPr>
          <w:color w:val="auto"/>
          <w:sz w:val="20"/>
          <w:szCs w:val="20"/>
          <w:lang w:val="en-CA" w:eastAsia="en-CA"/>
        </w:rPr>
        <w:t>In addition to this summary, the sponsor must provide the complete technical reports for the indirect comparisons as described in the</w:t>
      </w:r>
      <w:r>
        <w:rPr>
          <w:sz w:val="20"/>
          <w:szCs w:val="20"/>
          <w:lang w:val="en-CA" w:eastAsia="en-CA"/>
        </w:rPr>
        <w:t xml:space="preserve"> </w:t>
      </w:r>
      <w:hyperlink r:id="rId4">
        <w:r>
          <w:rPr>
            <w:rStyle w:val="Style"/>
            <w:i/>
            <w:iCs/>
            <w:color w:val="0000FF"/>
            <w:sz w:val="20"/>
            <w:szCs w:val="20"/>
            <w:u w:val="single"/>
          </w:rPr>
          <w:t>Procedures for Reimbursement Reviews</w:t>
        </w:r>
      </w:hyperlink>
      <w:r>
        <w:rPr>
          <w:color w:val="auto"/>
          <w:sz w:val="20"/>
          <w:szCs w:val="20"/>
          <w:lang w:val="en-CA" w:eastAsia="en-CA"/>
        </w:rPr>
        <w:t xml:space="preserve">. Any sponsors who have not included one or more indirect comparisons in the application should explain within the template why an indirect comparison is not relevant for the review and/or why an indirect comparison was not feasible with the available information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Section 5 (for applications eligible for a complex review only)</w:t>
      </w:r>
    </w:p>
    <w:p>
      <w:pPr>
        <w:pStyle w:val="BodyCopyCADTH"/>
        <w:spacing w:before="0" w:after="0"/>
        <w:ind w:start="0"/>
        <w:rPr>
          <w:sz w:val="20"/>
          <w:szCs w:val="20"/>
          <w:lang w:val="en-CA" w:eastAsia="en-CA"/>
        </w:rPr>
      </w:pPr>
      <w:r>
        <w:rPr>
          <w:sz w:val="20"/>
          <w:szCs w:val="20"/>
          <w:lang w:val="en-CA" w:eastAsia="en-CA"/>
        </w:rPr>
        <w:t xml:space="preserve">This section allows the sponsor to summarize evidence from additional studies that address important gaps in the evidence presented in sections 2 and 3 of the template. </w:t>
      </w:r>
      <w:r>
        <w:rPr>
          <w:sz w:val="20"/>
          <w:szCs w:val="20"/>
        </w:rPr>
        <w:t xml:space="preserve">Prior to completing Section 5, sponsors must clearly identify the gaps in the evidence that has been provided in each of the preceding sections. </w:t>
      </w:r>
      <w:r>
        <w:rPr>
          <w:sz w:val="20"/>
          <w:szCs w:val="20"/>
          <w:lang w:val="en-CA" w:eastAsia="en-CA"/>
        </w:rPr>
        <w:t xml:space="preserve">Examples of gaps in the evidence include the following: </w:t>
      </w:r>
    </w:p>
    <w:p>
      <w:pPr>
        <w:pStyle w:val="BodyCopyCADTH"/>
        <w:numPr>
          <w:ilvl w:val="0"/>
          <w:numId w:val="16"/>
        </w:numPr>
        <w:spacing w:before="0" w:after="0"/>
        <w:rPr>
          <w:sz w:val="20"/>
          <w:szCs w:val="20"/>
          <w:lang w:val="en-CA" w:eastAsia="en-CA"/>
        </w:rPr>
      </w:pPr>
      <w:r>
        <w:rPr>
          <w:sz w:val="20"/>
          <w:szCs w:val="20"/>
          <w:lang w:val="en-CA" w:eastAsia="en-CA"/>
        </w:rPr>
        <w:t xml:space="preserve">Studies designed to demonstrate safety and effectiveness in relevant patient populations that were not included in the clinical trials. </w:t>
      </w:r>
    </w:p>
    <w:p>
      <w:pPr>
        <w:pStyle w:val="BodyCopyCADTH"/>
        <w:numPr>
          <w:ilvl w:val="0"/>
          <w:numId w:val="16"/>
        </w:numPr>
        <w:spacing w:before="0" w:after="0"/>
        <w:rPr>
          <w:sz w:val="20"/>
          <w:szCs w:val="20"/>
          <w:lang w:val="en-CA" w:eastAsia="en-CA"/>
        </w:rPr>
      </w:pPr>
      <w:r>
        <w:rPr>
          <w:sz w:val="20"/>
          <w:szCs w:val="20"/>
          <w:lang w:val="en-CA" w:eastAsia="en-CA"/>
        </w:rPr>
        <w:t>Studies designed to address outcomes that require longer-term follow-up and were not investigated in the clinical trials and/or extension studies.</w:t>
      </w:r>
    </w:p>
    <w:p>
      <w:pPr>
        <w:pStyle w:val="BodyCopyCADTH"/>
        <w:numPr>
          <w:ilvl w:val="0"/>
          <w:numId w:val="16"/>
        </w:numPr>
        <w:spacing w:before="0" w:after="0"/>
        <w:rPr>
          <w:sz w:val="20"/>
          <w:szCs w:val="20"/>
          <w:lang w:val="en-CA" w:eastAsia="en-CA"/>
        </w:rPr>
      </w:pPr>
      <w:r>
        <w:rPr>
          <w:sz w:val="20"/>
          <w:szCs w:val="20"/>
          <w:lang w:val="en-CA" w:eastAsia="en-CA"/>
        </w:rPr>
        <w:t xml:space="preserve">Studies that address </w:t>
      </w:r>
      <w:r>
        <w:rPr>
          <w:sz w:val="20"/>
          <w:szCs w:val="20"/>
        </w:rPr>
        <w:t>uncertainty regarding the dosage of the drug under review that is used in actual clinical practice.</w:t>
      </w:r>
    </w:p>
    <w:p>
      <w:pPr>
        <w:pStyle w:val="BodyCopyCADTH"/>
        <w:spacing w:before="0" w:after="0"/>
        <w:ind w:start="0"/>
        <w:rPr>
          <w:sz w:val="20"/>
          <w:szCs w:val="20"/>
          <w:lang w:val="en-CA" w:eastAsia="en-CA"/>
        </w:rPr>
      </w:pPr>
      <w:r>
        <w:rPr>
          <w:sz w:val="20"/>
          <w:szCs w:val="20"/>
          <w:lang w:val="en-CA" w:eastAsia="en-CA"/>
        </w:rPr>
      </w:r>
    </w:p>
    <w:p>
      <w:pPr>
        <w:pStyle w:val="BodyCopyCADTH"/>
        <w:spacing w:before="0" w:after="0"/>
        <w:ind w:start="0"/>
        <w:rPr>
          <w:sz w:val="20"/>
          <w:szCs w:val="20"/>
          <w:lang w:val="en-CA" w:eastAsia="en-CA"/>
        </w:rPr>
      </w:pPr>
      <w:r>
        <w:rPr>
          <w:sz w:val="20"/>
          <w:szCs w:val="20"/>
          <w:lang w:val="en-CA" w:eastAsia="en-CA"/>
        </w:rPr>
        <w:t xml:space="preserve">CDA-AMC will consider the information provided by the sponsor in Section 5 and make a case-by-case determination of which additional evidence will be included in the clinical report. The inclusion of evidence from section 5 in the clinical report will be determined solely by CDA-AMC based on the following factors: </w:t>
      </w:r>
    </w:p>
    <w:p>
      <w:pPr>
        <w:pStyle w:val="BodyCopyCADTH"/>
        <w:numPr>
          <w:ilvl w:val="0"/>
          <w:numId w:val="16"/>
        </w:numPr>
        <w:spacing w:before="0" w:after="0"/>
        <w:rPr>
          <w:sz w:val="20"/>
          <w:szCs w:val="20"/>
          <w:lang w:val="en-CA" w:eastAsia="en-CA"/>
        </w:rPr>
      </w:pPr>
      <w:r>
        <w:rPr>
          <w:sz w:val="20"/>
          <w:szCs w:val="20"/>
          <w:lang w:val="en-CA" w:eastAsia="en-CA"/>
        </w:rPr>
        <w:t>the additional information may address a clear and relevant gap in the pivotal and RCT evidence</w:t>
      </w:r>
    </w:p>
    <w:p>
      <w:pPr>
        <w:pStyle w:val="BodyCopyCADTH"/>
        <w:numPr>
          <w:ilvl w:val="0"/>
          <w:numId w:val="16"/>
        </w:numPr>
        <w:spacing w:before="0" w:after="0"/>
        <w:rPr>
          <w:sz w:val="20"/>
          <w:szCs w:val="20"/>
          <w:lang w:val="en-CA" w:eastAsia="en-CA"/>
        </w:rPr>
      </w:pPr>
      <w:r>
        <w:rPr>
          <w:sz w:val="20"/>
          <w:szCs w:val="20"/>
          <w:lang w:val="en-CA" w:eastAsia="en-CA"/>
        </w:rPr>
        <w:t xml:space="preserve">the sponsor has provided the additional information in a format that allows CDA-AMC to complete a detailed review and appraisal of the data (e.g., in accordance with the CONSORT reporting guidelines or </w:t>
      </w:r>
      <w:hyperlink r:id="rId5">
        <w:r>
          <w:rPr>
            <w:rStyle w:val="Hyperlink"/>
            <w:i/>
            <w:iCs/>
            <w:sz w:val="20"/>
            <w:szCs w:val="20"/>
          </w:rPr>
          <w:t>Guidance for Reporting Real-World Evidence</w:t>
        </w:r>
      </w:hyperlink>
      <w:r>
        <w:rPr>
          <w:sz w:val="20"/>
          <w:szCs w:val="20"/>
        </w:rPr>
        <w:t>, as applicable</w:t>
      </w:r>
      <w:r>
        <w:rPr>
          <w:sz w:val="20"/>
          <w:szCs w:val="20"/>
          <w:lang w:val="en-CA" w:eastAsia="en-CA"/>
        </w:rPr>
        <w:t xml:space="preserve">). </w:t>
      </w:r>
    </w:p>
    <w:p>
      <w:pPr>
        <w:pStyle w:val="BodyCopyCADTH"/>
        <w:ind w:start="0"/>
        <w:rPr>
          <w:sz w:val="20"/>
          <w:szCs w:val="20"/>
          <w:lang w:val="en-CA" w:eastAsia="en-CA"/>
        </w:rPr>
      </w:pPr>
      <w:r>
        <w:rPr>
          <w:sz w:val="20"/>
          <w:szCs w:val="20"/>
          <w:lang w:val="en-CA" w:eastAsia="en-CA"/>
        </w:rPr>
        <w:t xml:space="preserve">When assessing eligibility of an application for a complex review under scenario 5, CDA-AMC will </w:t>
      </w:r>
      <w:r>
        <w:rPr>
          <w:sz w:val="20"/>
          <w:szCs w:val="20"/>
        </w:rPr>
        <w:t>determine</w:t>
      </w:r>
      <w:r>
        <w:rPr>
          <w:sz w:val="20"/>
          <w:szCs w:val="20"/>
          <w:lang w:val="en-CA" w:eastAsia="en-CA"/>
        </w:rPr>
        <w:t xml:space="preserve"> during the eligibility assessment whether additional evidence will be included in this section of the clinical report.</w:t>
      </w:r>
    </w:p>
    <w:p>
      <w:pPr>
        <w:pStyle w:val="BodyCopyCADTH"/>
        <w:spacing w:before="0" w:after="0"/>
        <w:ind w:start="0"/>
        <w:rPr>
          <w:b/>
          <w:bCs/>
          <w:sz w:val="20"/>
          <w:szCs w:val="20"/>
          <w:lang w:val="en-CA" w:eastAsia="en-CA"/>
        </w:rPr>
      </w:pPr>
      <w:bookmarkStart w:id="5" w:name="_Hlk26257779"/>
      <w:r>
        <w:rPr>
          <w:b/>
          <w:bCs/>
          <w:sz w:val="20"/>
          <w:szCs w:val="20"/>
          <w:lang w:val="en-CA" w:eastAsia="en-CA"/>
        </w:rPr>
        <w:t xml:space="preserve">Section 6 </w:t>
      </w:r>
    </w:p>
    <w:p>
      <w:pPr>
        <w:pStyle w:val="BodyCopyCADTH"/>
        <w:spacing w:before="0" w:after="0"/>
        <w:ind w:start="0"/>
        <w:rPr>
          <w:b/>
          <w:bCs/>
          <w:i/>
          <w:iCs/>
          <w:sz w:val="20"/>
          <w:szCs w:val="20"/>
          <w:lang w:val="en-CA" w:eastAsia="en-CA"/>
        </w:rPr>
      </w:pPr>
      <w:r>
        <w:rPr>
          <w:sz w:val="20"/>
          <w:szCs w:val="20"/>
          <w:lang w:val="en-CA" w:eastAsia="en-CA"/>
        </w:rPr>
        <w:t xml:space="preserve">In this section of the template the sponsor must summarize the key methods and results of the pharmacoeconomic submission. The information provided by the sponsor will be incorporated into the Supplemental Materials document that is prepared by CDA-AMC. The information is intended to be a summary and additional relevant details should be included in the economic evaluation technical report. </w:t>
      </w:r>
      <w:r>
        <w:rPr>
          <w:b/>
          <w:bCs/>
          <w:i/>
          <w:iCs/>
          <w:sz w:val="20"/>
          <w:szCs w:val="20"/>
          <w:lang w:val="en-CA" w:eastAsia="en-CA"/>
        </w:rPr>
        <w:t>Note: All sponsors are encouraged to complete this section; however, it is only a requirement for applications that will target the December 2026 expert committee meetings or later.</w:t>
      </w:r>
    </w:p>
    <w:p>
      <w:pPr>
        <w:pStyle w:val="Subheadinglvl1Working"/>
        <w:rPr>
          <w:color w:val="0067B9"/>
        </w:rPr>
      </w:pPr>
      <w:r>
        <w:rPr>
          <w:color w:val="0067B9"/>
        </w:rPr>
        <w:t>Submitting the Completed Template</w:t>
      </w:r>
    </w:p>
    <w:p>
      <w:pPr>
        <w:pStyle w:val="BodyCopyWorking"/>
        <w:spacing w:before="160" w:after="40"/>
        <w:rPr>
          <w:sz w:val="20"/>
          <w:szCs w:val="20"/>
          <w:lang w:val="en-CA"/>
        </w:rPr>
        <w:sectPr>
          <w:headerReference w:type="even" r:id="rId6"/>
          <w:headerReference w:type="default" r:id="rId7"/>
          <w:headerReference w:type="first" r:id="rId8"/>
          <w:footerReference w:type="even" r:id="rId9"/>
          <w:footerReference w:type="default" r:id="rId10"/>
          <w:footerReference w:type="first" r:id="rId11"/>
          <w:type w:val="nextPage"/>
          <w:pgSz w:w="12240" w:h="15840"/>
          <w:pgMar w:left="822" w:right="822" w:gutter="0" w:header="709" w:top="2359" w:footer="709" w:bottom="1457"/>
          <w:pgNumType w:fmt="decimal"/>
          <w:formProt w:val="false"/>
          <w:titlePg/>
          <w:textDirection w:val="lrTb"/>
          <w:docGrid w:type="default" w:linePitch="360" w:charSpace="0"/>
        </w:sectPr>
      </w:pPr>
      <w:r>
        <w:rPr>
          <w:sz w:val="20"/>
          <w:szCs w:val="20"/>
          <w:lang w:val="en-CA"/>
        </w:rPr>
        <w:t>Incorporate the completed sponsor submission into the package of required documents. Please consult the relevant procedural documentation for details on how to file the application with CDA-AMC.</w:t>
      </w:r>
      <w:bookmarkEnd w:id="5"/>
    </w:p>
    <w:p>
      <w:pPr>
        <w:pStyle w:val="SectionHeadingWorking"/>
        <w:rPr/>
      </w:pPr>
      <w:bookmarkStart w:id="6" w:name="_Toc129685133"/>
      <w:bookmarkStart w:id="7" w:name="_Toc216182092"/>
      <w:bookmarkStart w:id="8" w:name="_Toc436038436"/>
      <w:bookmarkStart w:id="9" w:name="__RefHeading___Toc6170_3477833118"/>
      <w:bookmarkEnd w:id="9"/>
      <w:r>
        <w:rPr/>
        <w:t>Record of Updates</w:t>
      </w:r>
      <w:bookmarkEnd w:id="6"/>
      <w:r>
        <w:rPr/>
        <w:t xml:space="preserve"> to Template</w:t>
      </w:r>
      <w:bookmarkEnd w:id="7"/>
    </w:p>
    <w:tbl>
      <w:tblPr>
        <w:tblW w:w="5000" w:type="pct"/>
        <w:jc w:val="left"/>
        <w:tblInd w:w="-5" w:type="dxa"/>
        <w:tblLayout w:type="fixed"/>
        <w:tblCellMar>
          <w:top w:w="14" w:type="dxa"/>
          <w:start w:w="115" w:type="dxa"/>
          <w:bottom w:w="14" w:type="dxa"/>
          <w:end w:w="115" w:type="dxa"/>
        </w:tblCellMar>
        <w:tblLook w:noHBand="0" w:noVBand="0" w:firstColumn="1" w:lastRow="1" w:lastColumn="1" w:firstRow="1" w:val="01e0"/>
      </w:tblPr>
      <w:tblGrid>
        <w:gridCol w:w="891"/>
        <w:gridCol w:w="2214"/>
        <w:gridCol w:w="7433"/>
      </w:tblGrid>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rPr>
                <w:rFonts w:ascii="Arial" w:hAnsi="Arial" w:cs="Arial"/>
                <w:b/>
                <w:color w:themeColor="background1" w:val="FFFFFF"/>
                <w:sz w:val="18"/>
                <w:szCs w:val="18"/>
              </w:rPr>
            </w:pPr>
            <w:r>
              <w:rPr>
                <w:rFonts w:cs="Arial" w:ascii="Arial" w:hAnsi="Arial"/>
                <w:b/>
                <w:color w:themeColor="background1" w:val="FFFFFF"/>
                <w:sz w:val="18"/>
                <w:szCs w:val="18"/>
              </w:rPr>
              <w:t>Version</w:t>
            </w:r>
          </w:p>
        </w:tc>
        <w:tc>
          <w:tcPr>
            <w:tcW w:w="2213"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Date</w:t>
            </w:r>
          </w:p>
        </w:tc>
        <w:tc>
          <w:tcPr>
            <w:tcW w:w="7434" w:type="dxa"/>
            <w:tcBorders>
              <w:top w:val="single" w:sz="4" w:space="0" w:color="000000"/>
              <w:start w:val="single" w:sz="4" w:space="0" w:color="000000"/>
              <w:bottom w:val="single" w:sz="4" w:space="0" w:color="000000"/>
              <w:end w:val="single" w:sz="4" w:space="0" w:color="000000"/>
            </w:tcBorders>
            <w:shd w:color="auto" w:fill="0067B9" w:val="clear"/>
            <w:tcMar>
              <w:top w:w="0" w:type="dxa"/>
              <w:start w:w="108" w:type="dxa"/>
              <w:bottom w:w="0" w:type="dxa"/>
              <w:end w:w="108" w:type="dxa"/>
            </w:tcMa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Summary of revisions</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5</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January 29, 2026</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Addition of the summary of the sponsor’s pharmacoeconomic submission.</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how the proposed reimbursement conditions will be considered by the expert committee.</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4</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February 27, 2025</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Updated from CADTH to CDA-AMC</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throughout to include corresponding table and figure numbers from data sources when they are cited.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a new section for proposed reimbursement conditions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Updated section 5 instructions to reflect changes to complex review eligibility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Made minor revisions to Table 1 (submission type and mechanism of action of the drug under review added)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Clarified guidance for providing a reference list and copies of articles addressing the validity of outcome measures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to summarize the clinical evidence underlying or justifying the use of a surrogate outcome as well as the evidence for the validation of the surrogate outcome.</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for reporting statistical testing details for noninferiority studies and for reporting how intercurrent events were handled.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on describing the feasibility assessment for included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reporting assessment of homogeneity for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focussing on relevant comparators when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example tables for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that absolute effects for efficacy results should be reported when possible</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3</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June 8,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Updated instructions for reporting efficacy results in the systematic review section now specify types of data that should be reported, including absolute differences in effects. In the absence of this information, the CADTH review team may not be able to fully assess the clinical importance of the estimated effect for a given outcome.</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2</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April 20,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Clarification to the template instructions that section 2 of the template must be completed by sponsors and that all indirect comparisons included in the application must be summarized in section 4.</w:t>
            </w:r>
          </w:p>
        </w:tc>
      </w:tr>
      <w:tr>
        <w:trPr>
          <w:trHeight w:val="20" w:hRule="atLeast"/>
          <w:cantSpli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1</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March 31, 2022</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Original version posted</w:t>
            </w:r>
          </w:p>
        </w:tc>
      </w:tr>
    </w:tbl>
    <w:p>
      <w:pPr>
        <w:pStyle w:val="TableofContentsCADTH"/>
        <w:spacing w:before="0" w:after="40"/>
        <w:rPr/>
      </w:pPr>
      <w:r>
        <w:br w:type="page"/>
      </w:r>
      <w:r>
        <w:rPr/>
        <w:t>Table of Contents</w:t>
      </w:r>
    </w:p>
    <w:p>
      <w:pPr>
        <w:pStyle w:val="TableofFigures"/>
        <w:rPr>
          <w:color w:val="C00000"/>
        </w:rPr>
      </w:pPr>
      <w:r>
        <w:rPr>
          <w:color w:val="C00000"/>
        </w:rPr>
        <w:t>Please update the Table of Contents prior to submitting the application.</w:t>
      </w:r>
    </w:p>
    <w:sdt>
      <w:sdtPr>
        <w:docPartObj>
          <w:docPartGallery w:val="Table of Contents"/>
          <w:docPartUnique w:val="true"/>
        </w:docPartObj>
      </w:sdtPr>
      <w:sdtContent>
        <w:p>
          <w:pPr>
            <w:pStyle w:val="TOC1"/>
            <w:tabs>
              <w:tab w:val="clear" w:pos="10528"/>
              <w:tab w:val="left" w:pos="440" w:leader="none"/>
              <w:tab w:val="right" w:pos="10537" w:leader="dot"/>
            </w:tabs>
            <w:rPr/>
          </w:pPr>
          <w:r>
            <w:fldChar w:fldCharType="begin"/>
          </w:r>
          <w:r>
            <w:rPr>
              <w:rStyle w:val="IndexLink"/>
              <w:vanish w:val="false"/>
            </w:rPr>
            <w:instrText xml:space="preserve"> TOC \z \t "Section Heading (Working),1,Heading lvl 1 (Working),2" \h</w:instrText>
          </w:r>
          <w:r>
            <w:rPr>
              <w:rStyle w:val="IndexLink"/>
              <w:vanish w:val="false"/>
            </w:rPr>
            <w:fldChar w:fldCharType="separate"/>
          </w:r>
          <w:r>
            <w:rPr>
              <w:rStyle w:val="IndexLink"/>
              <w:vanish w:val="false"/>
            </w:rPr>
            <w:tab/>
          </w:r>
          <w:r>
            <w:rPr>
              <w:vanish w:val="false"/>
            </w:rPr>
            <w:t>Record of Updates to Template</w:t>
            <w:tab/>
            <w:t>4</w:t>
          </w:r>
        </w:p>
        <w:p>
          <w:pPr>
            <w:pStyle w:val="TOC1"/>
            <w:tabs>
              <w:tab w:val="clear" w:pos="10528"/>
              <w:tab w:val="left" w:pos="440" w:leader="none"/>
              <w:tab w:val="right" w:pos="10537" w:leader="dot"/>
            </w:tabs>
            <w:rPr/>
          </w:pPr>
          <w:r>
            <w:rPr>
              <w:vanish w:val="false"/>
            </w:rPr>
            <w:tab/>
            <w:t>List of Tables</w:t>
            <w:tab/>
            <w:t>6</w:t>
          </w:r>
        </w:p>
        <w:p>
          <w:pPr>
            <w:pStyle w:val="TOC1"/>
            <w:tabs>
              <w:tab w:val="clear" w:pos="10528"/>
              <w:tab w:val="left" w:pos="440" w:leader="none"/>
              <w:tab w:val="right" w:pos="10537" w:leader="dot"/>
            </w:tabs>
            <w:rPr/>
          </w:pPr>
          <w:r>
            <w:rPr>
              <w:vanish w:val="false"/>
            </w:rPr>
            <w:tab/>
            <w:t>List of Figures</w:t>
            <w:tab/>
            <w:t>6</w:t>
          </w:r>
        </w:p>
        <w:p>
          <w:pPr>
            <w:pStyle w:val="TOC1"/>
            <w:tabs>
              <w:tab w:val="clear" w:pos="10528"/>
              <w:tab w:val="left" w:pos="440" w:leader="none"/>
              <w:tab w:val="right" w:pos="10537" w:leader="dot"/>
            </w:tabs>
            <w:rPr/>
          </w:pPr>
          <w:r>
            <w:rPr>
              <w:vanish w:val="false"/>
            </w:rPr>
            <w:tab/>
            <w:t>Abbreviations</w:t>
            <w:tab/>
            <w:t>7</w:t>
          </w:r>
        </w:p>
        <w:p>
          <w:pPr>
            <w:pStyle w:val="TOC1"/>
            <w:tabs>
              <w:tab w:val="clear" w:pos="10528"/>
              <w:tab w:val="left" w:pos="440" w:leader="none"/>
              <w:tab w:val="right" w:pos="10537" w:leader="dot"/>
            </w:tabs>
            <w:rPr/>
          </w:pPr>
          <w:r>
            <w:rPr>
              <w:vanish w:val="false"/>
            </w:rPr>
            <w:tab/>
            <w:t>Section 1. Introduction</w:t>
            <w:tab/>
            <w:t>8</w:t>
          </w:r>
        </w:p>
        <w:p>
          <w:pPr>
            <w:pStyle w:val="TOC2"/>
            <w:tabs>
              <w:tab w:val="clear" w:pos="10528"/>
              <w:tab w:val="left" w:pos="880" w:leader="none"/>
              <w:tab w:val="right" w:pos="10537" w:leader="dot"/>
            </w:tabs>
            <w:rPr/>
          </w:pPr>
          <w:r>
            <w:rPr>
              <w:vanish w:val="false"/>
            </w:rPr>
            <w:tab/>
            <w:t>Application Summary</w:t>
            <w:tab/>
            <w:t>8</w:t>
          </w:r>
        </w:p>
        <w:p>
          <w:pPr>
            <w:pStyle w:val="TOC2"/>
            <w:tabs>
              <w:tab w:val="clear" w:pos="10528"/>
              <w:tab w:val="left" w:pos="880" w:leader="none"/>
              <w:tab w:val="right" w:pos="10537" w:leader="dot"/>
            </w:tabs>
            <w:rPr/>
          </w:pPr>
          <w:r>
            <w:rPr>
              <w:vanish w:val="false"/>
            </w:rPr>
            <w:tab/>
            <w:t>Drug under Review</w:t>
            <w:tab/>
            <w:t>8</w:t>
          </w:r>
        </w:p>
        <w:p>
          <w:pPr>
            <w:pStyle w:val="TOC2"/>
            <w:tabs>
              <w:tab w:val="clear" w:pos="10528"/>
              <w:tab w:val="left" w:pos="880" w:leader="none"/>
              <w:tab w:val="right" w:pos="10537" w:leader="dot"/>
            </w:tabs>
            <w:rPr/>
          </w:pPr>
          <w:r>
            <w:rPr>
              <w:vanish w:val="false"/>
            </w:rPr>
            <w:tab/>
            <w:t>Disease Background</w:t>
            <w:tab/>
            <w:t>9</w:t>
          </w:r>
        </w:p>
        <w:p>
          <w:pPr>
            <w:pStyle w:val="TOC2"/>
            <w:tabs>
              <w:tab w:val="clear" w:pos="10528"/>
              <w:tab w:val="left" w:pos="880" w:leader="none"/>
              <w:tab w:val="right" w:pos="10537" w:leader="dot"/>
            </w:tabs>
            <w:rPr/>
          </w:pPr>
          <w:r>
            <w:rPr>
              <w:vanish w:val="false"/>
            </w:rPr>
            <w:tab/>
            <w:t>Place in Therapy and Comparators</w:t>
            <w:tab/>
            <w:t>11</w:t>
          </w:r>
        </w:p>
        <w:p>
          <w:pPr>
            <w:pStyle w:val="TOC1"/>
            <w:tabs>
              <w:tab w:val="clear" w:pos="10528"/>
              <w:tab w:val="left" w:pos="440" w:leader="none"/>
              <w:tab w:val="right" w:pos="10537" w:leader="dot"/>
            </w:tabs>
            <w:rPr/>
          </w:pPr>
          <w:r>
            <w:rPr>
              <w:vanish w:val="false"/>
            </w:rPr>
            <w:tab/>
            <w:t>Section 2. Systematic Review</w:t>
            <w:tab/>
            <w:t>14</w:t>
          </w:r>
        </w:p>
        <w:p>
          <w:pPr>
            <w:pStyle w:val="TOC2"/>
            <w:tabs>
              <w:tab w:val="clear" w:pos="10528"/>
              <w:tab w:val="left" w:pos="880" w:leader="none"/>
              <w:tab w:val="right" w:pos="10537" w:leader="dot"/>
            </w:tabs>
            <w:rPr/>
          </w:pPr>
          <w:r>
            <w:rPr>
              <w:vanish w:val="false"/>
            </w:rPr>
            <w:tab/>
            <w:t>Objectives and Methods</w:t>
            <w:tab/>
            <w:t>14</w:t>
          </w:r>
        </w:p>
        <w:p>
          <w:pPr>
            <w:pStyle w:val="TOC2"/>
            <w:tabs>
              <w:tab w:val="clear" w:pos="10528"/>
              <w:tab w:val="left" w:pos="880" w:leader="none"/>
              <w:tab w:val="right" w:pos="10537" w:leader="dot"/>
            </w:tabs>
            <w:rPr/>
          </w:pPr>
          <w:r>
            <w:rPr>
              <w:vanish w:val="false"/>
            </w:rPr>
            <w:tab/>
            <w:t>Literature Search and Study Selection</w:t>
            <w:tab/>
            <w:t>15</w:t>
          </w:r>
        </w:p>
        <w:p>
          <w:pPr>
            <w:pStyle w:val="TOC2"/>
            <w:tabs>
              <w:tab w:val="clear" w:pos="10528"/>
              <w:tab w:val="left" w:pos="880" w:leader="none"/>
              <w:tab w:val="right" w:pos="10537" w:leader="dot"/>
            </w:tabs>
            <w:rPr/>
          </w:pPr>
          <w:r>
            <w:rPr>
              <w:vanish w:val="false"/>
            </w:rPr>
            <w:tab/>
            <w:t>Included Studies</w:t>
            <w:tab/>
            <w:t>16</w:t>
          </w:r>
        </w:p>
        <w:p>
          <w:pPr>
            <w:pStyle w:val="TOC2"/>
            <w:tabs>
              <w:tab w:val="clear" w:pos="10528"/>
              <w:tab w:val="left" w:pos="880" w:leader="none"/>
              <w:tab w:val="right" w:pos="10537" w:leader="dot"/>
            </w:tabs>
            <w:rPr/>
          </w:pPr>
          <w:r>
            <w:rPr>
              <w:vanish w:val="false"/>
            </w:rPr>
            <w:tab/>
            <w:t>Patient Population</w:t>
            <w:tab/>
            <w:t>22</w:t>
          </w:r>
        </w:p>
        <w:p>
          <w:pPr>
            <w:pStyle w:val="TOC2"/>
            <w:tabs>
              <w:tab w:val="clear" w:pos="10528"/>
              <w:tab w:val="left" w:pos="880" w:leader="none"/>
              <w:tab w:val="right" w:pos="10537" w:leader="dot"/>
            </w:tabs>
            <w:rPr/>
          </w:pPr>
          <w:r>
            <w:rPr>
              <w:vanish w:val="false"/>
            </w:rPr>
            <w:tab/>
            <w:t>Results</w:t>
            <w:tab/>
            <w:t>27</w:t>
          </w:r>
        </w:p>
        <w:p>
          <w:pPr>
            <w:pStyle w:val="TOC2"/>
            <w:tabs>
              <w:tab w:val="clear" w:pos="10528"/>
              <w:tab w:val="left" w:pos="880" w:leader="none"/>
              <w:tab w:val="right" w:pos="10537" w:leader="dot"/>
            </w:tabs>
            <w:rPr/>
          </w:pPr>
          <w:r>
            <w:rPr>
              <w:vanish w:val="false"/>
            </w:rPr>
            <w:tab/>
            <w:t>Sponsor Summary and Conclusion</w:t>
            <w:tab/>
            <w:t>38</w:t>
          </w:r>
        </w:p>
        <w:p>
          <w:pPr>
            <w:pStyle w:val="TOC2"/>
            <w:tabs>
              <w:tab w:val="clear" w:pos="10528"/>
              <w:tab w:val="left" w:pos="880" w:leader="none"/>
              <w:tab w:val="right" w:pos="10537" w:leader="dot"/>
            </w:tabs>
            <w:rPr/>
          </w:pPr>
          <w:r>
            <w:rPr>
              <w:vanish w:val="false"/>
            </w:rPr>
            <w:tab/>
            <w:t>Sponsor Identified Gaps in the Evidence</w:t>
            <w:tab/>
            <w:t>38</w:t>
          </w:r>
        </w:p>
        <w:p>
          <w:pPr>
            <w:pStyle w:val="TOC1"/>
            <w:tabs>
              <w:tab w:val="clear" w:pos="10528"/>
              <w:tab w:val="left" w:pos="440" w:leader="none"/>
              <w:tab w:val="right" w:pos="10537" w:leader="dot"/>
            </w:tabs>
            <w:rPr/>
          </w:pPr>
          <w:r>
            <w:rPr>
              <w:vanish w:val="false"/>
            </w:rPr>
            <w:tab/>
            <w:t>Section 3. Long-Term Extension Studies</w:t>
            <w:tab/>
            <w:t>39</w:t>
          </w:r>
        </w:p>
        <w:p>
          <w:pPr>
            <w:pStyle w:val="TOC2"/>
            <w:tabs>
              <w:tab w:val="clear" w:pos="10528"/>
              <w:tab w:val="left" w:pos="880" w:leader="none"/>
              <w:tab w:val="right" w:pos="10537" w:leader="dot"/>
            </w:tabs>
            <w:rPr/>
          </w:pPr>
          <w:r>
            <w:rPr>
              <w:vanish w:val="false"/>
            </w:rPr>
            <w:tab/>
            <w:t>Description of Studies</w:t>
            <w:tab/>
            <w:t>39</w:t>
          </w:r>
        </w:p>
        <w:p>
          <w:pPr>
            <w:pStyle w:val="TOC2"/>
            <w:tabs>
              <w:tab w:val="clear" w:pos="10528"/>
              <w:tab w:val="left" w:pos="880" w:leader="none"/>
              <w:tab w:val="right" w:pos="10537" w:leader="dot"/>
            </w:tabs>
            <w:rPr/>
          </w:pPr>
          <w:r>
            <w:rPr>
              <w:vanish w:val="false"/>
            </w:rPr>
            <w:tab/>
            <w:t>Patient Population</w:t>
            <w:tab/>
            <w:t>39</w:t>
          </w:r>
        </w:p>
        <w:p>
          <w:pPr>
            <w:pStyle w:val="TOC2"/>
            <w:tabs>
              <w:tab w:val="clear" w:pos="10528"/>
              <w:tab w:val="left" w:pos="880" w:leader="none"/>
              <w:tab w:val="right" w:pos="10537" w:leader="dot"/>
            </w:tabs>
            <w:rPr/>
          </w:pPr>
          <w:r>
            <w:rPr>
              <w:vanish w:val="false"/>
            </w:rPr>
            <w:tab/>
            <w:t>Results</w:t>
            <w:tab/>
            <w:t>42</w:t>
          </w:r>
        </w:p>
        <w:p>
          <w:pPr>
            <w:pStyle w:val="TOC2"/>
            <w:tabs>
              <w:tab w:val="clear" w:pos="10528"/>
              <w:tab w:val="left" w:pos="880" w:leader="none"/>
              <w:tab w:val="right" w:pos="10537" w:leader="dot"/>
            </w:tabs>
            <w:rPr/>
          </w:pPr>
          <w:r>
            <w:rPr>
              <w:vanish w:val="false"/>
            </w:rPr>
            <w:tab/>
            <w:t>Sponsor Summary and Conclusion</w:t>
            <w:tab/>
            <w:t>45</w:t>
          </w:r>
        </w:p>
        <w:p>
          <w:pPr>
            <w:pStyle w:val="TOC2"/>
            <w:tabs>
              <w:tab w:val="clear" w:pos="10528"/>
              <w:tab w:val="left" w:pos="880" w:leader="none"/>
              <w:tab w:val="right" w:pos="10537" w:leader="dot"/>
            </w:tabs>
            <w:rPr/>
          </w:pPr>
          <w:r>
            <w:rPr>
              <w:vanish w:val="false"/>
            </w:rPr>
            <w:tab/>
            <w:t>Sponsor Identified Gaps in the Evidence</w:t>
            <w:tab/>
            <w:t>45</w:t>
          </w:r>
        </w:p>
        <w:p>
          <w:pPr>
            <w:pStyle w:val="TOC1"/>
            <w:tabs>
              <w:tab w:val="clear" w:pos="10528"/>
              <w:tab w:val="left" w:pos="440" w:leader="none"/>
              <w:tab w:val="right" w:pos="10537" w:leader="dot"/>
            </w:tabs>
            <w:rPr/>
          </w:pPr>
          <w:r>
            <w:rPr>
              <w:vanish w:val="false"/>
            </w:rPr>
            <w:tab/>
            <w:t>Section 4. Indirect Evidence</w:t>
            <w:tab/>
            <w:t>46</w:t>
          </w:r>
        </w:p>
        <w:p>
          <w:pPr>
            <w:pStyle w:val="TOC2"/>
            <w:tabs>
              <w:tab w:val="clear" w:pos="10528"/>
              <w:tab w:val="left" w:pos="880" w:leader="none"/>
              <w:tab w:val="right" w:pos="10537" w:leader="dot"/>
            </w:tabs>
            <w:rPr/>
          </w:pPr>
          <w:r>
            <w:rPr>
              <w:vanish w:val="false"/>
            </w:rPr>
            <w:tab/>
            <w:t>Description of Indirect Comparison(s)</w:t>
            <w:tab/>
            <w:t>46</w:t>
          </w:r>
        </w:p>
        <w:p>
          <w:pPr>
            <w:pStyle w:val="TOC2"/>
            <w:tabs>
              <w:tab w:val="clear" w:pos="10528"/>
              <w:tab w:val="left" w:pos="880" w:leader="none"/>
              <w:tab w:val="right" w:pos="10537" w:leader="dot"/>
            </w:tabs>
            <w:rPr/>
          </w:pPr>
          <w:r>
            <w:rPr>
              <w:vanish w:val="false"/>
            </w:rPr>
            <w:tab/>
            <w:t>Results</w:t>
            <w:tab/>
            <w:t>50</w:t>
          </w:r>
        </w:p>
        <w:p>
          <w:pPr>
            <w:pStyle w:val="TOC2"/>
            <w:tabs>
              <w:tab w:val="clear" w:pos="10528"/>
              <w:tab w:val="left" w:pos="880" w:leader="none"/>
              <w:tab w:val="right" w:pos="10537" w:leader="dot"/>
            </w:tabs>
            <w:rPr/>
          </w:pPr>
          <w:r>
            <w:rPr>
              <w:vanish w:val="false"/>
            </w:rPr>
            <w:tab/>
            <w:t>Sponsor Summary and Conclusion</w:t>
            <w:tab/>
            <w:t>52</w:t>
          </w:r>
        </w:p>
        <w:p>
          <w:pPr>
            <w:pStyle w:val="TOC1"/>
            <w:tabs>
              <w:tab w:val="clear" w:pos="10528"/>
              <w:tab w:val="left" w:pos="440" w:leader="none"/>
              <w:tab w:val="right" w:pos="10537" w:leader="dot"/>
            </w:tabs>
            <w:rPr/>
          </w:pPr>
          <w:r>
            <w:rPr>
              <w:vanish w:val="false"/>
            </w:rPr>
            <w:tab/>
            <w:t>Section 5. Studies Addressing Gaps in the Pivotal and RCT Evidence</w:t>
            <w:tab/>
            <w:t>53</w:t>
          </w:r>
        </w:p>
        <w:p>
          <w:pPr>
            <w:pStyle w:val="TOC2"/>
            <w:tabs>
              <w:tab w:val="clear" w:pos="10528"/>
              <w:tab w:val="left" w:pos="880" w:leader="none"/>
              <w:tab w:val="right" w:pos="10537" w:leader="dot"/>
            </w:tabs>
            <w:rPr/>
          </w:pPr>
          <w:r>
            <w:rPr>
              <w:vanish w:val="false"/>
            </w:rPr>
            <w:tab/>
            <w:t>Summary of Gaps in the Evidence</w:t>
            <w:tab/>
            <w:t>53</w:t>
          </w:r>
        </w:p>
        <w:p>
          <w:pPr>
            <w:pStyle w:val="TOC2"/>
            <w:tabs>
              <w:tab w:val="clear" w:pos="10528"/>
              <w:tab w:val="left" w:pos="880" w:leader="none"/>
              <w:tab w:val="right" w:pos="10537" w:leader="dot"/>
            </w:tabs>
            <w:rPr/>
          </w:pPr>
          <w:r>
            <w:rPr>
              <w:vanish w:val="false"/>
            </w:rPr>
            <w:tab/>
            <w:t>Description of (add Study ID)</w:t>
            <w:tab/>
            <w:t>53</w:t>
          </w:r>
        </w:p>
        <w:p>
          <w:pPr>
            <w:pStyle w:val="TOC2"/>
            <w:tabs>
              <w:tab w:val="clear" w:pos="10528"/>
              <w:tab w:val="left" w:pos="880" w:leader="none"/>
              <w:tab w:val="right" w:pos="10537" w:leader="dot"/>
            </w:tabs>
            <w:rPr/>
          </w:pPr>
          <w:r>
            <w:rPr>
              <w:vanish w:val="false"/>
            </w:rPr>
            <w:tab/>
            <w:t>Patient Population</w:t>
            <w:tab/>
            <w:t>54</w:t>
          </w:r>
        </w:p>
        <w:p>
          <w:pPr>
            <w:pStyle w:val="TOC2"/>
            <w:tabs>
              <w:tab w:val="clear" w:pos="10528"/>
              <w:tab w:val="left" w:pos="880" w:leader="none"/>
              <w:tab w:val="right" w:pos="10537" w:leader="dot"/>
            </w:tabs>
            <w:rPr/>
          </w:pPr>
          <w:r>
            <w:rPr>
              <w:vanish w:val="false"/>
            </w:rPr>
            <w:tab/>
            <w:t>Results</w:t>
            <w:tab/>
            <w:t>58</w:t>
          </w:r>
        </w:p>
        <w:p>
          <w:pPr>
            <w:pStyle w:val="TOC2"/>
            <w:tabs>
              <w:tab w:val="clear" w:pos="10528"/>
              <w:tab w:val="left" w:pos="880" w:leader="none"/>
              <w:tab w:val="right" w:pos="10537" w:leader="dot"/>
            </w:tabs>
            <w:rPr/>
          </w:pPr>
          <w:r>
            <w:rPr>
              <w:vanish w:val="false"/>
            </w:rPr>
            <w:tab/>
            <w:t>Sponsor Summary and Conclusion</w:t>
            <w:tab/>
            <w:t>62</w:t>
          </w:r>
        </w:p>
        <w:p>
          <w:pPr>
            <w:pStyle w:val="TOC1"/>
            <w:tabs>
              <w:tab w:val="clear" w:pos="10528"/>
              <w:tab w:val="left" w:pos="440" w:leader="none"/>
              <w:tab w:val="right" w:pos="10537" w:leader="dot"/>
            </w:tabs>
            <w:rPr/>
          </w:pPr>
          <w:r>
            <w:rPr>
              <w:vanish w:val="false"/>
            </w:rPr>
            <w:tab/>
            <w:t>Section 6. Summary of the Sponsor’s Pharmacoeconomic Submission</w:t>
            <w:tab/>
            <w:t>63</w:t>
          </w:r>
        </w:p>
        <w:p>
          <w:pPr>
            <w:pStyle w:val="TOC1"/>
            <w:tabs>
              <w:tab w:val="clear" w:pos="10528"/>
              <w:tab w:val="left" w:pos="440" w:leader="none"/>
              <w:tab w:val="right" w:pos="10537" w:leader="dot"/>
            </w:tabs>
            <w:rPr/>
          </w:pPr>
          <w:r>
            <w:rPr>
              <w:vanish w:val="false"/>
            </w:rPr>
            <w:tab/>
            <w:t>Appendix 1: Literature Search Strategy</w:t>
            <w:tab/>
            <w:t>68</w:t>
          </w:r>
        </w:p>
        <w:p>
          <w:pPr>
            <w:pStyle w:val="TOC1"/>
            <w:tabs>
              <w:tab w:val="clear" w:pos="10528"/>
              <w:tab w:val="left" w:pos="440" w:leader="none"/>
              <w:tab w:val="right" w:pos="10537" w:leader="dot"/>
            </w:tabs>
            <w:rPr/>
          </w:pPr>
          <w:r>
            <w:rPr>
              <w:vanish w:val="false"/>
            </w:rPr>
            <w:tab/>
            <w:t>Appendix 2: List of Excluded Studies</w:t>
            <w:tab/>
            <w:t>71</w:t>
          </w:r>
        </w:p>
        <w:p>
          <w:pPr>
            <w:pStyle w:val="TOC1"/>
            <w:tabs>
              <w:tab w:val="clear" w:pos="10528"/>
              <w:tab w:val="left" w:pos="440" w:leader="none"/>
              <w:tab w:val="right" w:pos="10537" w:leader="dot"/>
            </w:tabs>
            <w:rPr/>
          </w:pPr>
          <w:r>
            <w:rPr>
              <w:vanish w:val="false"/>
            </w:rPr>
            <w:tab/>
            <w:t>References</w:t>
            <w:tab/>
            <w:t>72</w:t>
          </w:r>
          <w:r>
            <w:rPr>
              <w:vanish w:val="false"/>
            </w:rPr>
            <w:fldChar w:fldCharType="end"/>
          </w:r>
        </w:p>
      </w:sdtContent>
    </w:sdt>
    <w:p>
      <w:pPr>
        <w:pStyle w:val="Normal"/>
        <w:spacing w:before="0" w:after="120"/>
        <w:rPr/>
      </w:pPr>
      <w:r>
        <w:rPr/>
      </w:r>
    </w:p>
    <w:p>
      <w:pPr>
        <w:pStyle w:val="SectionHeadingWorking"/>
        <w:rPr/>
      </w:pPr>
      <w:bookmarkStart w:id="10" w:name="_Toc216182093"/>
      <w:bookmarkStart w:id="11" w:name="__RefHeading___Toc6194_3477833118"/>
      <w:bookmarkEnd w:id="11"/>
      <w:r>
        <w:rPr/>
        <w:t>List of Tables</w:t>
      </w:r>
      <w:bookmarkEnd w:id="10"/>
    </w:p>
    <w:p>
      <w:pPr>
        <w:pStyle w:val="TableofFigures"/>
        <w:rPr/>
      </w:pPr>
      <w:sdt>
        <w:sdtPr>
          <w:alias w:val="List of Tables"/>
          <w:id w:val="666065098"/>
        </w:sdtPr>
        <w:sdtContent>
          <w:r>
            <w:rPr>
              <w:rFonts w:ascii="Arial" w:hAnsi="Arial" w:cs="Arial"/>
              <w:sz w:val="20"/>
              <w:color w:val="000000"/>
            </w:rPr>
            <w:t xml:space="preserve">Table 1: Submitted for Review ; Table 2: Sample table for presenting the estimated prevalence in each region; Table 3: Key characteristics of Drug 1, Drug 2, etc.; Table 4: Proposed Reimbursement Conditions for the Drug Under Review; Table 5: Inclusion criteria for the systematic review; Table 6: Details of Included Studies; Table 7: Summary of Outcomes Relevant to the Systematic Review ; Table 8: Statistical Analysis of Efficacy Endpoints; Table 9: Analysis Populations of Study 1 and Study 2; Table 10: Summary of Baseline Characteristics of Study 1 and Study 2; Table 11: Sample Table for Patient Disposition; Table 12: Sample Table for Patient Exposure; Table 13: Sample Table for Subsequent Treatment; Table 14: Sample table for key efficacy outcomes; Table 15: Sample table for efficacy outcome; Table 16: Sample table for key harms data; Table 17: Summary of Baseline Characteristics; Table 18: Sample Table for Patient Exposure; Table 19: Sample Table for Subsequent Treatment; Table 20: Summary of Harms ; Table 21: Study Selection Criteria and Methods for Indirect Comparisons ; Table 22: Indirect Comparison Analysis Methods ; Table 23: Sample Table for Assessment of Homogeneity ; Table 24: ITC Sample Data Table for Continuous Outcomes (e.g., Summary of NMA Results for Efficacy Results, [Treatment] Versus Comparators); Table 25: ITC Sample Data Table for Dichotomous Outcomes (e.g., Summary of NMA Results for Efficacy Results, [Treatment] Versus Comparators); Table 26: Summary of Gaps in the Evidence; Table 27: Summary of Baseline Characteristics of Study 1 and Study 2; Table 28: Sample Table for Patient Exposure; Table 29: Sample Table for Subsequent Treatment; Table 29: Sample Table for Subsequent Treatment; Economic evaluation: Key Components of the Sponsor’s Economic Evaluation; Table 31: Excluded Studies</w:t>
          </w:r>
        </w:sdtContent>
      </w:sdt>
    </w:p>
    <w:p>
      <w:pPr>
        <w:pStyle w:val="Normal"/>
        <w:rPr/>
      </w:pPr>
      <w:r>
        <w:rPr/>
      </w:r>
    </w:p>
    <w:p>
      <w:pPr>
        <w:pStyle w:val="Normal"/>
        <w:rPr/>
      </w:pPr>
      <w:r>
        <w:rPr/>
      </w:r>
    </w:p>
    <w:p>
      <w:pPr>
        <w:pStyle w:val="SectionHeadingWorking"/>
        <w:rPr/>
      </w:pPr>
      <w:bookmarkStart w:id="12" w:name="_Toc13042094"/>
      <w:bookmarkStart w:id="13" w:name="_Toc216182094"/>
      <w:bookmarkStart w:id="14" w:name="_Toc498941920"/>
      <w:bookmarkStart w:id="15" w:name="__RefHeading___Toc6192_3477833118"/>
      <w:bookmarkEnd w:id="15"/>
      <w:r>
        <w:rPr/>
        <w:t>List of Figure</w:t>
      </w:r>
      <w:bookmarkEnd w:id="12"/>
      <w:bookmarkEnd w:id="14"/>
      <w:r>
        <w:rPr/>
        <w:t>s</w:t>
      </w:r>
      <w:bookmarkEnd w:id="13"/>
    </w:p>
    <w:p>
      <w:pPr>
        <w:pStyle w:val="TableofFigures"/>
        <w:rPr/>
      </w:pPr>
      <w:sdt>
        <w:sdtPr>
          <w:alias w:val="List of figures"/>
          <w:id w:val="880393120"/>
        </w:sdtPr>
        <w:sdtContent>
          <w:r>
            <w:rPr>
              <w:rFonts w:ascii="Arial" w:hAnsi="Arial" w:cs="Arial"/>
              <w:sz w:val="20"/>
              <w:color w:val="000000"/>
            </w:rPr>
            <w:t xml:space="preserve">No clinical figures added. Figure fields are retained and marked where the source does not provide the requested evidence.</w:t>
          </w:r>
        </w:sdtContent>
      </w:sdt>
      <w:r>
        <w:br w:type="page"/>
      </w:r>
    </w:p>
    <w:p>
      <w:pPr>
        <w:pStyle w:val="SectionHeadingWorking"/>
        <w:spacing w:before="0" w:after="120"/>
        <w:rPr>
          <w:shd w:fill="FFFFFF" w:val="clear"/>
        </w:rPr>
      </w:pPr>
      <w:bookmarkStart w:id="16" w:name="_Toc13042095"/>
      <w:bookmarkStart w:id="17" w:name="_Toc216182095"/>
      <w:bookmarkStart w:id="18" w:name="__RefHeading___Toc6190_3477833118"/>
      <w:bookmarkEnd w:id="18"/>
      <w:r>
        <w:rPr>
          <w:shd w:fill="FFFFFF" w:val="clear"/>
        </w:rPr>
        <w:t>Abbreviations</w:t>
      </w:r>
      <w:bookmarkEnd w:id="16"/>
      <w:bookmarkEnd w:id="17"/>
    </w:p>
    <w:p>
      <w:pPr>
        <w:pStyle w:val="Normal"/>
        <w:rPr>
          <w:rFonts w:ascii="Arial" w:hAnsi="Arial" w:cs="Arial"/>
          <w:color w:val="C00000"/>
          <w:sz w:val="20"/>
          <w:szCs w:val="20"/>
        </w:rPr>
      </w:pPr>
      <w:r>
        <w:rPr>
          <w:rFonts w:cs="Arial" w:ascii="Arial" w:hAnsi="Arial"/>
          <w:color w:val="C00000"/>
          <w:sz w:val="20"/>
          <w:szCs w:val="20"/>
        </w:rPr>
        <w:t xml:space="preserve">Examples of commonly used abbreviations are provided below. Please add or remove from the list as needed. </w:t>
      </w:r>
    </w:p>
    <w:p>
      <w:pPr>
        <w:pStyle w:val="Normal"/>
        <w:rPr>
          <w:rFonts w:ascii="Arial" w:hAnsi="Arial" w:cs="Arial"/>
          <w:color w:val="C00000"/>
          <w:sz w:val="20"/>
          <w:szCs w:val="20"/>
        </w:rPr>
      </w:pPr>
      <w:r>
        <w:rPr>
          <w:rFonts w:cs="Arial" w:ascii="Arial" w:hAnsi="Arial"/>
          <w:color w:val="C00000"/>
          <w:sz w:val="20"/>
          <w:szCs w:val="20"/>
        </w:rPr>
      </w:r>
    </w:p>
    <w:p>
      <w:pPr>
        <w:pStyle w:val="BodyCopyWorking"/>
        <w:spacing w:before="0" w:after="0"/>
        <w:rPr/>
      </w:pPr>
      <w:r>
        <w:rPr>
          <w:b/>
          <w:bCs/>
        </w:rPr>
        <w:t>AE</w:t>
      </w:r>
      <w:r>
        <w:rPr/>
        <w:tab/>
        <w:tab/>
        <w:t>adverse event</w:t>
      </w:r>
    </w:p>
    <w:p>
      <w:pPr>
        <w:pStyle w:val="BodyCopyWorking"/>
        <w:spacing w:before="0" w:after="0"/>
        <w:rPr/>
      </w:pPr>
      <w:r>
        <w:rPr>
          <w:b/>
          <w:bCs/>
        </w:rPr>
        <w:t>CI</w:t>
      </w:r>
      <w:r>
        <w:rPr/>
        <w:tab/>
        <w:tab/>
        <w:t>confidence interval</w:t>
      </w:r>
    </w:p>
    <w:p>
      <w:pPr>
        <w:pStyle w:val="BodyCopyWorking"/>
        <w:spacing w:before="0" w:after="0"/>
        <w:rPr/>
      </w:pPr>
      <w:r>
        <w:rPr>
          <w:b/>
          <w:bCs/>
        </w:rPr>
        <w:t>DB</w:t>
      </w:r>
      <w:r>
        <w:rPr/>
        <w:tab/>
        <w:tab/>
        <w:t>double blind</w:t>
      </w:r>
    </w:p>
    <w:p>
      <w:pPr>
        <w:pStyle w:val="BodyCopyWorking"/>
        <w:spacing w:before="0" w:after="0"/>
        <w:rPr/>
      </w:pPr>
      <w:r>
        <w:rPr>
          <w:b/>
          <w:bCs/>
        </w:rPr>
        <w:t>EMA</w:t>
      </w:r>
      <w:r>
        <w:rPr/>
        <w:tab/>
        <w:tab/>
        <w:t>European Medicines Agency</w:t>
      </w:r>
    </w:p>
    <w:p>
      <w:pPr>
        <w:pStyle w:val="BodyCopyWorking"/>
        <w:spacing w:before="0" w:after="0"/>
        <w:rPr/>
      </w:pPr>
      <w:r>
        <w:rPr>
          <w:b/>
          <w:bCs/>
        </w:rPr>
        <w:t>FAS</w:t>
        <w:tab/>
        <w:tab/>
      </w:r>
      <w:r>
        <w:rPr/>
        <w:t>full analysis set</w:t>
      </w:r>
    </w:p>
    <w:p>
      <w:pPr>
        <w:pStyle w:val="BodyCopyWorking"/>
        <w:spacing w:before="0" w:after="0"/>
        <w:rPr/>
      </w:pPr>
      <w:r>
        <w:rPr>
          <w:b/>
          <w:bCs/>
        </w:rPr>
        <w:t>FDA</w:t>
      </w:r>
      <w:r>
        <w:rPr/>
        <w:tab/>
        <w:tab/>
        <w:t>Food and Drug Administration</w:t>
      </w:r>
    </w:p>
    <w:p>
      <w:pPr>
        <w:pStyle w:val="BodyCopyWorking"/>
        <w:spacing w:before="0" w:after="0"/>
        <w:rPr/>
      </w:pPr>
      <w:r>
        <w:rPr>
          <w:b/>
          <w:bCs/>
        </w:rPr>
        <w:t>ITT</w:t>
      </w:r>
      <w:r>
        <w:rPr/>
        <w:tab/>
        <w:tab/>
        <w:t>intention-to-treat population</w:t>
      </w:r>
    </w:p>
    <w:p>
      <w:pPr>
        <w:pStyle w:val="BodyCopyWorking"/>
        <w:spacing w:before="0" w:after="0"/>
        <w:rPr/>
      </w:pPr>
      <w:r>
        <w:rPr>
          <w:b/>
          <w:bCs/>
        </w:rPr>
        <w:t>PP</w:t>
      </w:r>
      <w:r>
        <w:rPr/>
        <w:tab/>
        <w:tab/>
        <w:t>per-protocol</w:t>
      </w:r>
    </w:p>
    <w:p>
      <w:pPr>
        <w:pStyle w:val="BodyCopyWorking"/>
        <w:spacing w:before="0" w:after="0"/>
        <w:rPr/>
      </w:pPr>
      <w:r>
        <w:rPr>
          <w:b/>
          <w:bCs/>
        </w:rPr>
        <w:t>RCT</w:t>
      </w:r>
      <w:r>
        <w:rPr/>
        <w:tab/>
        <w:tab/>
        <w:t>randomized controlled trial</w:t>
      </w:r>
    </w:p>
    <w:p>
      <w:pPr>
        <w:pStyle w:val="BodyCopyWorking"/>
        <w:spacing w:before="0" w:after="0"/>
        <w:rPr/>
      </w:pPr>
      <w:r>
        <w:rPr>
          <w:b/>
          <w:bCs/>
        </w:rPr>
        <w:t>RR</w:t>
      </w:r>
      <w:r>
        <w:rPr/>
        <w:tab/>
        <w:tab/>
        <w:t>relative risk</w:t>
      </w:r>
    </w:p>
    <w:p>
      <w:pPr>
        <w:pStyle w:val="BodyCopyWorking"/>
        <w:spacing w:before="0" w:after="0"/>
        <w:rPr/>
      </w:pPr>
      <w:r>
        <w:rPr>
          <w:b/>
          <w:bCs/>
        </w:rPr>
        <w:t>SAE</w:t>
      </w:r>
      <w:r>
        <w:rPr/>
        <w:tab/>
        <w:tab/>
        <w:t>serious adverse event</w:t>
      </w:r>
    </w:p>
    <w:p>
      <w:pPr>
        <w:pStyle w:val="BodyCopyWorking"/>
        <w:spacing w:before="0" w:after="0"/>
        <w:rPr/>
      </w:pPr>
      <w:r>
        <w:rPr>
          <w:b/>
          <w:bCs/>
        </w:rPr>
        <w:t>SD</w:t>
      </w:r>
      <w:r>
        <w:rPr/>
        <w:tab/>
        <w:tab/>
        <w:t>standard deviation</w:t>
      </w:r>
    </w:p>
    <w:p>
      <w:pPr>
        <w:pStyle w:val="BodyCopyWorking"/>
        <w:spacing w:before="0" w:after="0"/>
        <w:rPr/>
      </w:pPr>
      <w:r>
        <w:rPr>
          <w:b/>
          <w:bCs/>
        </w:rPr>
        <w:t>WDAE</w:t>
      </w:r>
      <w:r>
        <w:rPr/>
        <w:tab/>
        <w:tab/>
        <w:t>withdrawal due to adverse event</w:t>
      </w:r>
    </w:p>
    <w:p>
      <w:pPr>
        <w:pStyle w:val="BodyCopyWorking"/>
        <w:spacing w:before="0" w:after="0"/>
        <w:rPr/>
      </w:pPr>
      <w:sdt>
        <w:sdtPr>
          <w:alias w:val="Abbreviations"/>
          <w:id w:val="1792627528"/>
        </w:sdtPr>
        <w:sdtContent>
          <w:r>
            <w:rPr>
              <w:rFonts w:ascii="Arial" w:hAnsi="Arial" w:cs="Arial"/>
              <w:sz w:val="20"/>
              <w:color w:val="000000"/>
            </w:rPr>
            <w:t xml:space="preserve">ANCOVA = analysis of covariance; BMI = body mass index; CSR = clinical study report; DXA/DEXA = dual-energy X-ray absorptiometry; ETD = estimated treatment difference; GLP-1 = glucagon-like peptide-1; HbA1c = glycated haemoglobin; IWQOL-Lite-CT = Impact of Weight on Quality of Life-Lite for Clinical Trials; MMRM = mixed model for repeated measurements; OR = odds ratio; PRO = patient-reported outcome; SAS = safety analysis set; SF-36 = Short Form-36. (CSR pp. 25-26, 45-46, 58.)</w:t>
          </w:r>
        </w:sdtContent>
      </w:sdt>
    </w:p>
    <w:p>
      <w:pPr>
        <w:pStyle w:val="BodyCopyWorking"/>
        <w:spacing w:before="0" w:after="0"/>
        <w:rPr/>
      </w:pPr>
      <w:r>
        <w:rPr/>
      </w:r>
    </w:p>
    <w:p>
      <w:pPr>
        <w:pStyle w:val="BodyCopyWorking"/>
        <w:spacing w:before="0" w:after="0"/>
        <w:rPr/>
      </w:pPr>
      <w:r>
        <w:rPr/>
      </w:r>
    </w:p>
    <w:p>
      <w:pPr>
        <w:pStyle w:val="BodyCopyWorking"/>
        <w:spacing w:before="0" w:after="0"/>
        <w:rPr/>
      </w:pPr>
      <w:r>
        <w:rPr/>
      </w:r>
    </w:p>
    <w:p>
      <w:pPr>
        <w:pStyle w:val="Normal"/>
        <w:rPr>
          <w:sz w:val="2"/>
        </w:rPr>
      </w:pPr>
      <w:r>
        <w:rPr>
          <w:sz w:val="2"/>
        </w:rPr>
        <w:t xml:space="preserve">Addition </w:t>
      </w:r>
      <w:r>
        <w:br w:type="page"/>
      </w:r>
    </w:p>
    <w:p>
      <w:pPr>
        <w:pStyle w:val="SectionHeadingWorking"/>
        <w:spacing w:before="0" w:after="120"/>
        <w:rPr>
          <w:shd w:fill="FFFFFF" w:val="clear"/>
        </w:rPr>
      </w:pPr>
      <w:bookmarkStart w:id="19" w:name="_Toc13042102"/>
      <w:bookmarkStart w:id="20" w:name="_Toc216182096"/>
      <w:bookmarkStart w:id="21" w:name="_Toc436038441"/>
      <w:bookmarkStart w:id="22" w:name="__RefHeading___Toc6188_3477833118"/>
      <w:bookmarkEnd w:id="8"/>
      <w:bookmarkEnd w:id="22"/>
      <w:r>
        <w:rPr/>
        <w:t>Section 1. Introduction</w:t>
      </w:r>
      <w:bookmarkEnd w:id="19"/>
      <w:bookmarkEnd w:id="20"/>
      <w:bookmarkEnd w:id="21"/>
    </w:p>
    <w:p>
      <w:pPr>
        <w:pStyle w:val="Headinglvl1Working"/>
        <w:rPr/>
      </w:pPr>
      <w:bookmarkStart w:id="23" w:name="_Ref31638442"/>
      <w:bookmarkStart w:id="24" w:name="_Toc13042103"/>
      <w:bookmarkStart w:id="25" w:name="_Toc216182097"/>
      <w:bookmarkStart w:id="26" w:name="_Toc436038442"/>
      <w:bookmarkStart w:id="27" w:name="__RefHeading___Toc6196_3477833118"/>
      <w:bookmarkEnd w:id="27"/>
      <w:r>
        <w:rPr/>
        <w:t>Application Summary</w:t>
      </w:r>
      <w:bookmarkEnd w:id="25"/>
    </w:p>
    <w:p>
      <w:pPr>
        <w:pStyle w:val="TableTitleCADTH"/>
        <w:spacing w:lineRule="auto" w:line="360" w:before="240" w:after="0"/>
        <w:rPr>
          <w:rFonts w:cs="Arial"/>
          <w:color w:val="auto"/>
          <w:sz w:val="20"/>
          <w:szCs w:val="20"/>
        </w:rPr>
      </w:pPr>
      <w:r>
        <w:rPr>
          <w:rFonts w:cs="Arial"/>
          <w:color w:val="auto"/>
          <w:sz w:val="20"/>
          <w:szCs w:val="20"/>
        </w:rPr>
      </w:r>
      <w:bookmarkEnd w:id="23"/>
      <w:r>
        <w:rPr>
          <w:rFonts w:cs="Arial"/>
          <w:color w:val="auto"/>
          <w:sz w:val="20"/>
          <w:szCs w:val="20"/>
        </w:rPr>
      </w:r>
      <w:r>
        <w:t xml:space="preserve">Table 1: Submitted for Review </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3262"/>
        <w:gridCol w:w="7276"/>
      </w:tblGrid>
      <w:tr>
        <w:trPr>
          <w:tblHeader/>
          <w:cantSplit/>
        </w:trPr>
        <w:tc>
          <w:tcPr>
            <w:tcW w:w="326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jc w:val="center"/>
              <w:rPr>
                <w:color w:themeColor="text1" w:themeTint="f2" w:val="0D0D0D"/>
                <w:szCs w:val="18"/>
              </w:rPr>
            </w:pPr>
            <w:r>
              <w:rPr>
                <w:color w:themeColor="text1" w:themeTint="f2" w:val="0D0D0D"/>
                <w:szCs w:val="18"/>
              </w:rPr>
              <w:t>Item</w:t>
            </w:r>
          </w:p>
        </w:tc>
        <w:tc>
          <w:tcPr>
            <w:tcW w:w="727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jc w:val="center"/>
              <w:rPr>
                <w:color w:themeColor="text1" w:themeTint="f2" w:val="0D0D0D"/>
                <w:szCs w:val="18"/>
              </w:rPr>
            </w:pPr>
            <w:r>
              <w:rPr>
                <w:color w:themeColor="text1" w:themeTint="f2" w:val="0D0D0D"/>
                <w:szCs w:val="18"/>
              </w:rPr>
              <w:t>Description</w:t>
            </w:r>
          </w:p>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Drug (product)</w:t>
            </w:r>
          </w:p>
        </w:tc>
        <w:tc>
          <w:tcPr>
            <w:tcW w:w="7277" w:type="dxa"/>
            <w:tcBorders>
              <w:top w:val="single" w:sz="4" w:space="0" w:color="000000"/>
              <w:start w:val="single" w:sz="4" w:space="0" w:color="000000"/>
              <w:bottom w:val="single" w:sz="4" w:space="0" w:color="000000"/>
              <w:end w:val="single" w:sz="4" w:space="0" w:color="000000"/>
            </w:tcBorders>
          </w:tcPr>
          <w:p>
            <w:pPr>
              <w:pStyle w:val="TableBodyCopyCADTH"/>
              <w:rPr>
                <w:rFonts w:cs="Arial"/>
                <w:bCs/>
                <w:color w:val="auto"/>
                <w:highlight w:val="yellow"/>
                <w:lang w:val="en-CA"/>
              </w:rPr>
            </w:pPr>
            <w:sdt>
              <w:sdtPr>
                <w:alias w:val="Drug under review — product identification"/>
                <w:id w:val="198338343"/>
              </w:sdtPr>
              <w:sdtContent>
                <w:r>
                  <w:rPr>
                    <w:rFonts w:ascii="Arial" w:hAnsi="Arial" w:cs="Arial"/>
                    <w:sz w:val="18"/>
                    <w:color w:val="000000"/>
                  </w:rPr>
                  <w:t xml:space="preserve">Semaglutide, solution for subcutaneous injection, maintenance dose 2.4 mg once weekly. The brand name Wegovy is not stated in this CSR. (CSR pp. 2, 39-40.)</w:t>
                </w:r>
              </w:sdtContent>
            </w:sdt>
            <w:r>
              <w:rPr>
                <w:rFonts w:cs="Arial"/>
                <w:color w:val="C00000"/>
              </w:rPr>
              <w:t xml:space="preserve"> </w:t>
            </w:r>
          </w:p>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Sponsor</w:t>
            </w:r>
          </w:p>
        </w:tc>
        <w:tc>
          <w:tcPr>
            <w:tcW w:w="7277" w:type="dxa"/>
            <w:tcBorders>
              <w:top w:val="single" w:sz="4" w:space="0" w:color="000000"/>
              <w:start w:val="single" w:sz="4" w:space="0" w:color="000000"/>
              <w:bottom w:val="single" w:sz="4" w:space="0" w:color="000000"/>
              <w:end w:val="single" w:sz="4" w:space="0" w:color="000000"/>
            </w:tcBorders>
          </w:tcPr>
          <w:sdt>
            <w:sdtPr>
              <w:alias w:val="Sponsor name"/>
              <w:id w:val="538565650"/>
            </w:sdtPr>
            <w:sdtContent>
              <w:p>
                <w:pPr>
                  <w:pStyle w:val="BodyCopyWorking"/>
                </w:pPr>
                <w:r>
                  <w:rPr>
                    <w:rFonts w:ascii="Arial" w:hAnsi="Arial" w:cs="Arial"/>
                    <w:sz w:val="18"/>
                    <w:color w:val="000000"/>
                  </w:rPr>
                  <w:t xml:space="preserve">Novo Nordisk, Novo Allé, 2880 Bagsvaerd, Denmark. (CSR p. 2.)</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indication</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indication"/>
              <w:id w:val="767926277"/>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color w:val="auto"/>
                <w:lang w:val="en-CA"/>
              </w:rPr>
            </w:pPr>
            <w:r>
              <w:rPr>
                <w:b/>
                <w:bCs/>
                <w:lang w:val="en-CA"/>
              </w:rPr>
              <w:t>Health Canada approval status</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approval status"/>
              <w:id w:val="1109251318"/>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review pathway</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review pathway"/>
              <w:id w:val="1069967496"/>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NOC date</w:t>
            </w:r>
          </w:p>
        </w:tc>
        <w:tc>
          <w:tcPr>
            <w:tcW w:w="7277" w:type="dxa"/>
            <w:tcBorders>
              <w:top w:val="single" w:sz="4" w:space="0" w:color="000000"/>
              <w:start w:val="single" w:sz="4" w:space="0" w:color="000000"/>
              <w:bottom w:val="single" w:sz="4" w:space="0" w:color="000000"/>
              <w:end w:val="single" w:sz="4" w:space="0" w:color="000000"/>
            </w:tcBorders>
          </w:tcPr>
          <w:sdt>
            <w:sdtPr>
              <w:alias w:val="NOC date"/>
              <w:id w:val="1427308873"/>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Mechanism of action</w:t>
            </w:r>
          </w:p>
        </w:tc>
        <w:tc>
          <w:tcPr>
            <w:tcW w:w="7277" w:type="dxa"/>
            <w:tcBorders>
              <w:top w:val="single" w:sz="4" w:space="0" w:color="000000"/>
              <w:start w:val="single" w:sz="4" w:space="0" w:color="000000"/>
              <w:bottom w:val="single" w:sz="4" w:space="0" w:color="000000"/>
              <w:end w:val="single" w:sz="4" w:space="0" w:color="000000"/>
            </w:tcBorders>
          </w:tcPr>
          <w:sdt>
            <w:sdtPr>
              <w:alias w:val="Mechanism of action"/>
              <w:id w:val="631054096"/>
            </w:sdtPr>
            <w:sdtContent>
              <w:p>
                <w:pPr>
                  <w:pStyle w:val="BodyCopyWorking"/>
                </w:pPr>
                <w:r>
                  <w:rPr>
                    <w:rFonts w:ascii="Arial" w:hAnsi="Arial" w:cs="Arial"/>
                    <w:sz w:val="18"/>
                    <w:color w:val="000000"/>
                  </w:rPr>
                  <w:t xml:space="preserve">Semaglutide is a long-acting, selective GLP-1 receptor agonist with 94% homology to human GLP-1. Weight reduction is mediated mainly through reduced energy intake, increased satiety/fullness and reduced hunger. (CSR pp. 31-32.)</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Recommended dosage</w:t>
            </w:r>
          </w:p>
        </w:tc>
        <w:tc>
          <w:tcPr>
            <w:tcW w:w="7277" w:type="dxa"/>
            <w:tcBorders>
              <w:top w:val="single" w:sz="4" w:space="0" w:color="000000"/>
              <w:start w:val="single" w:sz="4" w:space="0" w:color="000000"/>
              <w:bottom w:val="single" w:sz="4" w:space="0" w:color="000000"/>
              <w:end w:val="single" w:sz="4" w:space="0" w:color="000000"/>
            </w:tcBorders>
          </w:tcPr>
          <w:sdt>
            <w:sdtPr>
              <w:alias w:val="Recommended dosage"/>
              <w:id w:val="1517267069"/>
            </w:sdtPr>
            <w:sdtContent>
              <w:p>
                <w:pPr>
                  <w:pStyle w:val="BodyCopyWorking"/>
                </w:pPr>
                <w:r>
                  <w:rPr>
                    <w:rFonts w:ascii="Arial" w:hAnsi="Arial" w:cs="Arial"/>
                    <w:sz w:val="18"/>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 Approved Canadian dosing is not reported. (CSR pp. 39-40.)</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Submission type</w:t>
            </w:r>
          </w:p>
        </w:tc>
        <w:tc>
          <w:tcPr>
            <w:tcW w:w="7277" w:type="dxa"/>
            <w:tcBorders>
              <w:top w:val="single" w:sz="4" w:space="0" w:color="000000"/>
              <w:start w:val="single" w:sz="4" w:space="0" w:color="000000"/>
              <w:bottom w:val="single" w:sz="4" w:space="0" w:color="000000"/>
              <w:end w:val="single" w:sz="4" w:space="0" w:color="000000"/>
            </w:tcBorders>
          </w:tcPr>
          <w:sdt>
            <w:sdtPr>
              <w:alias w:val="Submission type"/>
              <w:id w:val="1971185590"/>
            </w:sdtPr>
            <w:sdtContent>
              <w:p>
                <w:pPr>
                  <w:pStyle w:val="BodyCopyWorking"/>
                </w:pPr>
                <w:r>
                  <w:rPr>
                    <w:rFonts w:ascii="Arial" w:hAnsi="Arial" w:cs="Arial"/>
                    <w:sz w:val="18"/>
                    <w:color w:val="000000"/>
                  </w:rPr>
                  <w:t xml:space="preserve">Not reported in the supplied CSR. (CSR pp. 1, 32, 35-36: report scope.)</w:t>
                </w:r>
              </w:p>
            </w:sdtContent>
          </w:sdt>
        </w:tc>
      </w:tr>
      <w:tr>
        <w:trPr>
          <w:cantSplit/>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Reimbursement request</w:t>
            </w:r>
          </w:p>
        </w:tc>
        <w:tc>
          <w:tcPr>
            <w:tcW w:w="7277" w:type="dxa"/>
            <w:tcBorders>
              <w:top w:val="single" w:sz="4" w:space="0" w:color="000000"/>
              <w:start w:val="single" w:sz="4" w:space="0" w:color="000000"/>
              <w:bottom w:val="single" w:sz="4" w:space="0" w:color="000000"/>
              <w:end w:val="single" w:sz="4" w:space="0" w:color="000000"/>
            </w:tcBorders>
          </w:tcPr>
          <w:sdt>
            <w:sdtPr>
              <w:alias w:val="Reimbursement request"/>
              <w:id w:val="1224595166"/>
            </w:sdtPr>
            <w:sdtContent>
              <w:p>
                <w:pPr>
                  <w:pStyle w:val="BodyCopyWorking"/>
                </w:pPr>
                <w:r>
                  <w:rPr>
                    <w:rFonts w:ascii="Arial" w:hAnsi="Arial" w:cs="Arial"/>
                    <w:sz w:val="18"/>
                    <w:color w:val="000000"/>
                  </w:rPr>
                  <w:t xml:space="preserve">Not reported in the supplied CSR. (CSR pp. 1, 32, 35-36: report scope.)</w:t>
                </w:r>
              </w:p>
            </w:sdtContent>
          </w:sdt>
        </w:tc>
      </w:tr>
    </w:tbl>
    <w:p>
      <w:pPr>
        <w:pStyle w:val="Subheadinglvl1Working"/>
        <w:rPr/>
      </w:pPr>
      <w:r>
        <w:rPr/>
        <w:t>Rationale for Filing the Resubmission or Reassessment</w:t>
      </w:r>
    </w:p>
    <w:p>
      <w:pPr>
        <w:pStyle w:val="BodyCopyWorking"/>
        <w:rPr/>
      </w:pPr>
      <w:sdt>
        <w:sdtPr>
          <w:alias w:val="Rationale for resubmission or reassessment"/>
          <w:id w:val="1846282280"/>
        </w:sdtPr>
        <w:sdtContent>
          <w:r>
            <w:rPr>
              <w:rFonts w:ascii="Arial" w:hAnsi="Arial" w:cs="Arial"/>
              <w:sz w:val="20"/>
              <w:color w:val="000000"/>
            </w:rPr>
            <w:t xml:space="preserve">Not reported in the supplied CSR. (CSR pp. 1, 32, 35-36: report scope.)</w:t>
          </w:r>
        </w:sdtContent>
      </w:sdt>
    </w:p>
    <w:p>
      <w:pPr>
        <w:pStyle w:val="Headinglvl1Working"/>
        <w:rPr/>
      </w:pPr>
      <w:bookmarkStart w:id="29" w:name="_Toc13042105"/>
      <w:bookmarkStart w:id="30" w:name="_Toc216182098"/>
      <w:bookmarkStart w:id="31" w:name="_Toc436038444"/>
      <w:bookmarkStart w:id="32" w:name="__RefHeading___Toc6242_3477833118"/>
      <w:bookmarkEnd w:id="32"/>
      <w:r>
        <w:rPr/>
        <w:t>Drug</w:t>
      </w:r>
      <w:bookmarkEnd w:id="29"/>
      <w:bookmarkEnd w:id="31"/>
      <w:r>
        <w:rPr/>
        <w:t xml:space="preserve"> under Review</w:t>
      </w:r>
      <w:bookmarkEnd w:id="30"/>
    </w:p>
    <w:p>
      <w:pPr>
        <w:pStyle w:val="Subheadinglvl1Working"/>
        <w:rPr/>
      </w:pPr>
      <w:r>
        <w:rPr/>
        <w:t>Indication and Reimbursement Request</w:t>
      </w:r>
    </w:p>
    <w:sdt>
      <w:sdtPr>
        <w:alias w:val="Indication and reimbursement request"/>
        <w:id w:val="80408254"/>
      </w:sdtPr>
      <w:sdtContent>
        <w:p>
          <w:pPr>
            <w:pStyle w:val="BodyCopyWorking"/>
          </w:pPr>
          <w:r>
            <w:rPr>
              <w:rFonts w:ascii="Arial" w:hAnsi="Arial" w:cs="Arial"/>
              <w:sz w:val="20"/>
              <w:color w:val="000000"/>
            </w:rPr>
            <w:t xml:space="preserve">The CSR describes weight management in adults with overweight or obesity; it does not provide the Health Canada indication or a reimbursement request. (CSR pp. 2, 32, 36-37.)</w:t>
          </w:r>
        </w:p>
      </w:sdtContent>
    </w:sdt>
    <w:p>
      <w:pPr>
        <w:pStyle w:val="Subheadinglvl1Working"/>
        <w:rPr/>
      </w:pPr>
      <w:r>
        <w:rPr/>
        <w:t>Dosing and Administration</w:t>
      </w:r>
    </w:p>
    <w:p>
      <w:pPr>
        <w:pStyle w:val="Normal"/>
        <w:spacing w:lineRule="auto" w:line="276" w:before="0" w:after="60"/>
        <w:rPr/>
      </w:pPr>
      <w:sdt>
        <w:sdtPr>
          <w:alias w:val="Drug under review — dosing and administration"/>
          <w:id w:val="230650760"/>
        </w:sdtPr>
        <w:sdtContent>
          <w:r>
            <w:rPr>
              <w:rFonts w:ascii="Arial" w:hAnsi="Arial" w:cs="Arial"/>
              <w:sz w:val="20"/>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 Both groups received counselling every 4 weeks for a 500 kcal/day deficit and ≥150 minutes/week of physical activity, with daily food/activity records. (CSR p. 41.)</w:t>
          </w:r>
        </w:sdtContent>
      </w:sdt>
    </w:p>
    <w:p>
      <w:pPr>
        <w:pStyle w:val="Subheadinglvl1Working"/>
        <w:rPr/>
      </w:pPr>
      <w:r>
        <w:rPr/>
        <w:t>Mechanism of action</w:t>
      </w:r>
    </w:p>
    <w:p>
      <w:pPr>
        <w:pStyle w:val="Normal"/>
        <w:spacing w:lineRule="auto" w:line="276" w:before="0" w:after="60"/>
        <w:rPr/>
      </w:pPr>
      <w:sdt>
        <w:sdtPr>
          <w:alias w:val="Drug under review — mechanism of action"/>
          <w:id w:val="600835751"/>
        </w:sdtPr>
        <w:sdtContent>
          <w:r>
            <w:rPr>
              <w:rFonts w:ascii="Arial" w:hAnsi="Arial" w:cs="Arial"/>
              <w:sz w:val="20"/>
              <w:color w:val="000000"/>
            </w:rPr>
            <w:t xml:space="preserve">Semaglutide is a long-acting, selective GLP-1 receptor agonist with 94% homology to human GLP-1. Weight reduction is mediated mainly through reduced energy intake, increased satiety/fullness and reduced hunger. (CSR pp. 31-32.)</w:t>
          </w:r>
        </w:sdtContent>
      </w:sdt>
    </w:p>
    <w:p>
      <w:pPr>
        <w:pStyle w:val="Subheadinglvl1Working"/>
        <w:rPr/>
      </w:pPr>
      <w:r>
        <w:rPr/>
      </w:r>
    </w:p>
    <w:p>
      <w:pPr>
        <w:pStyle w:val="Subheadinglvl1Working"/>
        <w:rPr/>
      </w:pPr>
      <w:r>
        <w:rPr/>
      </w:r>
    </w:p>
    <w:p>
      <w:pPr>
        <w:pStyle w:val="Subheadinglvl1Working"/>
        <w:rPr/>
      </w:pPr>
      <w:r>
        <w:rPr/>
        <w:t xml:space="preserve">Prescribing </w:t>
      </w:r>
    </w:p>
    <w:p>
      <w:pPr>
        <w:pStyle w:val="Normal"/>
        <w:spacing w:lineRule="auto" w:line="276" w:before="0" w:after="60"/>
        <w:rPr/>
      </w:pPr>
      <w:sdt>
        <w:sdtPr>
          <w:alias w:val="Drug under review — prescribing restrictions"/>
          <w:id w:val="1321906422"/>
        </w:sdtPr>
        <w:sdtContent>
          <w:r>
            <w:rPr>
              <w:rFonts w:ascii="Arial" w:hAnsi="Arial" w:cs="Arial"/>
              <w:sz w:val="20"/>
              <w:color w:val="000000"/>
            </w:rPr>
            <w:t xml:space="preserve">Trial injections were self-administered once weekly in the thigh, abdomen or upper arm, at any time regardless of meals. Canadian prescriber restrictions are not reported. (CSR p. 40, Table 9-1.)</w:t>
          </w:r>
        </w:sdtContent>
      </w:sdt>
    </w:p>
    <w:p>
      <w:pPr>
        <w:pStyle w:val="Headinglvl1Working"/>
        <w:rPr/>
      </w:pPr>
      <w:bookmarkStart w:id="33" w:name="_Toc216182099"/>
      <w:bookmarkStart w:id="34" w:name="__RefHeading___Toc6240_3477833118"/>
      <w:bookmarkEnd w:id="34"/>
      <w:r>
        <w:rPr/>
        <w:t xml:space="preserve">Disease </w:t>
      </w:r>
      <w:bookmarkEnd w:id="24"/>
      <w:bookmarkEnd w:id="26"/>
      <w:r>
        <w:rPr/>
        <w:t>Background</w:t>
      </w:r>
      <w:bookmarkEnd w:id="33"/>
    </w:p>
    <w:p>
      <w:pPr>
        <w:pStyle w:val="Subheadinglvl1Working"/>
        <w:rPr/>
      </w:pPr>
      <w:bookmarkStart w:id="35" w:name="_Toc93390192"/>
      <w:r>
        <w:rPr/>
        <w:t>Overview of the Condition</w:t>
      </w:r>
    </w:p>
    <w:p>
      <w:pPr>
        <w:pStyle w:val="Normal"/>
        <w:spacing w:lineRule="auto" w:line="276"/>
        <w:rPr/>
      </w:pPr>
      <w:sdt>
        <w:sdtPr>
          <w:alias w:val="Disease background — overview of condition"/>
          <w:id w:val="1010375957"/>
        </w:sdtPr>
        <w:sdtContent>
          <w:r>
            <w:rPr>
              <w:rFonts w:ascii="Arial" w:hAnsi="Arial" w:cs="Arial"/>
              <w:sz w:val="20"/>
              <w:color w:val="000000"/>
            </w:rPr>
            <w:t xml:space="preserve">Obesity is associated with increased morbidity, mortality and reduced health-related quality of life; associated conditions include type 2 diabetes, hypertension, dyslipidaemia, sleep apnoea, cardiovascular disease and osteoarthritis. The CSR describes difficulty achieving and maintaining weight loss with lifestyle measures. (CSR p. 31.)</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Estimated Disease Prevalence</w:t>
      </w:r>
    </w:p>
    <w:p>
      <w:pPr>
        <w:pStyle w:val="Normal"/>
        <w:spacing w:lineRule="auto" w:line="276"/>
        <w:rPr/>
      </w:pPr>
      <w:sdt>
        <w:sdtPr>
          <w:alias w:val="Disease background — estimated disease prevalence narrative"/>
          <w:id w:val="1862541793"/>
        </w:sdtPr>
        <w:sdtContent>
          <w:r>
            <w:rPr>
              <w:rFonts w:ascii="Arial" w:hAnsi="Arial" w:cs="Arial"/>
              <w:sz w:val="20"/>
              <w:color w:val="000000"/>
            </w:rPr>
            <w:t xml:space="preserve">Canadian provincial/territorial prevalence estimates and uncertainty bounds are not reported. The CSR provides a qualitative global obesity background only. (CSR p. 31.)</w:t>
          </w:r>
        </w:sdtContent>
      </w:sdt>
    </w:p>
    <w:p>
      <w:pPr>
        <w:pStyle w:val="TableTitleCADTH"/>
        <w:rPr>
          <w:rFonts w:cs="Arial"/>
          <w:b w:val="false"/>
          <w:bCs/>
          <w:color w:val="auto"/>
          <w:sz w:val="20"/>
          <w:szCs w:val="20"/>
        </w:rPr>
      </w:pPr>
      <w:r>
        <w:rPr>
          <w:color w:val="auto"/>
          <w:sz w:val="20"/>
          <w:szCs w:val="20"/>
        </w:rPr>
      </w:r>
      <w:r>
        <w:rPr>
          <w:rFonts w:cs="Arial"/>
          <w:bCs/>
          <w:color w:val="auto"/>
          <w:sz w:val="20"/>
          <w:szCs w:val="20"/>
        </w:rPr>
      </w:r>
      <w:r>
        <w:t>Table 2: Sample table for presenting the estimated prevalence in each region</w:t>
      </w:r>
    </w:p>
    <w:tbl>
      <w:tblPr>
        <w:tblStyle w:val="TableGrid"/>
        <w:tblW w:w="9089"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261"/>
        <w:gridCol w:w="2027"/>
        <w:gridCol w:w="1844"/>
        <w:gridCol w:w="1957"/>
      </w:tblGrid>
      <w:tr>
        <w:trPr>
          <w:cantSplit/>
        </w:trPr>
        <w:tc>
          <w:tcPr>
            <w:tcW w:w="3261" w:type="dxa"/>
            <w:vMerge w:val="restart"/>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Region</w:t>
            </w:r>
          </w:p>
        </w:tc>
        <w:tc>
          <w:tcPr>
            <w:tcW w:w="5828" w:type="dxa"/>
            <w:gridSpan w:val="3"/>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Estimated Prevalence</w:t>
            </w:r>
          </w:p>
        </w:tc>
      </w:tr>
      <w:tr>
        <w:trPr>
          <w:cantSplit/>
        </w:trPr>
        <w:tc>
          <w:tcPr>
            <w:tcW w:w="3261" w:type="dxa"/>
            <w:vMerge w:val="continue"/>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b/>
                <w:color w:themeColor="text1" w:themeTint="f2" w:val="0D0D0D"/>
                <w:sz w:val="18"/>
                <w:szCs w:val="18"/>
              </w:rPr>
            </w:pPr>
            <w:r>
              <w:rPr>
                <w:rFonts w:cs="Arial" w:ascii="Arial" w:hAnsi="Arial"/>
                <w:b/>
                <w:color w:themeColor="text1" w:themeTint="f2" w:val="0D0D0D"/>
                <w:sz w:val="18"/>
                <w:szCs w:val="18"/>
              </w:rPr>
            </w:r>
          </w:p>
        </w:tc>
        <w:tc>
          <w:tcPr>
            <w:tcW w:w="2026" w:type="dxa"/>
            <w:tcBorders/>
            <w:shd w:color="auto" w:fill="BFBFBF" w:themeFill="background1" w:themeFillShade="bf" w:val="clear"/>
            <w:vAlign w:val="cente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Lower Estimate</w:t>
            </w:r>
          </w:p>
        </w:tc>
        <w:tc>
          <w:tcPr>
            <w:tcW w:w="1845"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Best Estimate</w:t>
            </w:r>
          </w:p>
        </w:tc>
        <w:tc>
          <w:tcPr>
            <w:tcW w:w="1957"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Upper Estimate</w:t>
            </w:r>
          </w:p>
        </w:tc>
      </w:tr>
      <w:tr>
        <w:trPr>
          <w:trHeight w:val="219" w:hRule="atLeast"/>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Pan-Canadian (excluding Quebec)</w:t>
            </w:r>
          </w:p>
        </w:tc>
        <w:tc>
          <w:tcPr>
            <w:tcW w:w="2026" w:type="dxa"/>
            <w:tcBorders/>
          </w:tcPr>
          <w:sdt>
            <w:sdtPr>
              <w:alias w:val="Estimated prevalence — Pan-Canadian excluding Quebec — lower estimate"/>
              <w:id w:val="1961078454"/>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Pan-Canadian excluding Quebec — best estimate"/>
              <w:id w:val="547920550"/>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Pan-Canadian excluding Quebec — upper estimate"/>
              <w:id w:val="2020580078"/>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Alberta</w:t>
            </w:r>
          </w:p>
        </w:tc>
        <w:tc>
          <w:tcPr>
            <w:tcW w:w="2026" w:type="dxa"/>
            <w:tcBorders/>
          </w:tcPr>
          <w:sdt>
            <w:sdtPr>
              <w:alias w:val="Estimated prevalence — Alberta — lower estimate"/>
              <w:id w:val="862513230"/>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Alberta — best estimate"/>
              <w:id w:val="399868640"/>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Alberta — upper estimate"/>
              <w:id w:val="1049388599"/>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British Columbia</w:t>
            </w:r>
          </w:p>
        </w:tc>
        <w:tc>
          <w:tcPr>
            <w:tcW w:w="2026" w:type="dxa"/>
            <w:tcBorders/>
          </w:tcPr>
          <w:sdt>
            <w:sdtPr>
              <w:alias w:val="Estimated prevalence — British Columbia — lower estimate"/>
              <w:id w:val="743271500"/>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British Columbia — best estimate"/>
              <w:id w:val="1387299603"/>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British Columbia — upper estimate"/>
              <w:id w:val="802424613"/>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Manitoba</w:t>
            </w:r>
          </w:p>
        </w:tc>
        <w:tc>
          <w:tcPr>
            <w:tcW w:w="2026" w:type="dxa"/>
            <w:tcBorders/>
          </w:tcPr>
          <w:sdt>
            <w:sdtPr>
              <w:alias w:val="Estimated prevalence — Manitoba — lower estimate"/>
              <w:id w:val="707348494"/>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Manitoba — best estimate"/>
              <w:id w:val="1054949687"/>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Manitoba — upper estimate"/>
              <w:id w:val="471519582"/>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 Brunswick</w:t>
            </w:r>
          </w:p>
        </w:tc>
        <w:tc>
          <w:tcPr>
            <w:tcW w:w="2026" w:type="dxa"/>
            <w:tcBorders/>
          </w:tcPr>
          <w:sdt>
            <w:sdtPr>
              <w:alias w:val="Estimated prevalence — New Brunswick — lower estimate"/>
              <w:id w:val="843183767"/>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ew Brunswick — best estimate"/>
              <w:id w:val="1929617225"/>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ew Brunswick — upper estimate"/>
              <w:id w:val="1285642913"/>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Newfoundland and Labrador</w:t>
            </w:r>
          </w:p>
        </w:tc>
        <w:tc>
          <w:tcPr>
            <w:tcW w:w="2026" w:type="dxa"/>
            <w:tcBorders/>
          </w:tcPr>
          <w:sdt>
            <w:sdtPr>
              <w:alias w:val="Estimated prevalence — Newfoundland and Labrador — lower estimate"/>
              <w:id w:val="128992369"/>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ewfoundland and Labrador — best estimate"/>
              <w:id w:val="379697995"/>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ewfoundland and Labrador — upper estimate"/>
              <w:id w:val="1437339656"/>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Northwest Territories</w:t>
            </w:r>
          </w:p>
        </w:tc>
        <w:tc>
          <w:tcPr>
            <w:tcW w:w="2026" w:type="dxa"/>
            <w:tcBorders/>
          </w:tcPr>
          <w:sdt>
            <w:sdtPr>
              <w:alias w:val="Estimated prevalence — Northwest Territories — lower estimate"/>
              <w:id w:val="889081692"/>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orthwest Territories — best estimate"/>
              <w:id w:val="1025526835"/>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orthwest Territories — upper estimate"/>
              <w:id w:val="1233515049"/>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Nova Scotia</w:t>
            </w:r>
          </w:p>
        </w:tc>
        <w:tc>
          <w:tcPr>
            <w:tcW w:w="2026" w:type="dxa"/>
            <w:tcBorders/>
          </w:tcPr>
          <w:sdt>
            <w:sdtPr>
              <w:alias w:val="Estimated prevalence — Nova Scotia — lower estimate"/>
              <w:id w:val="1926722373"/>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ova Scotia — best estimate"/>
              <w:id w:val="865436102"/>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ova Scotia — upper estimate"/>
              <w:id w:val="1028952913"/>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Nunavut</w:t>
            </w:r>
          </w:p>
        </w:tc>
        <w:tc>
          <w:tcPr>
            <w:tcW w:w="2026" w:type="dxa"/>
            <w:tcBorders/>
          </w:tcPr>
          <w:sdt>
            <w:sdtPr>
              <w:alias w:val="Estimated prevalence — Nunavut — lower estimate"/>
              <w:id w:val="1164403495"/>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unavut — best estimate"/>
              <w:id w:val="1818044526"/>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unavut — upper estimate"/>
              <w:id w:val="1638920587"/>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Ontario</w:t>
            </w:r>
          </w:p>
        </w:tc>
        <w:tc>
          <w:tcPr>
            <w:tcW w:w="2026" w:type="dxa"/>
            <w:tcBorders/>
          </w:tcPr>
          <w:sdt>
            <w:sdtPr>
              <w:alias w:val="Estimated prevalence — Ontario — lower estimate"/>
              <w:id w:val="523553245"/>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Ontario — best estimate"/>
              <w:id w:val="1576426057"/>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Ontario — upper estimate"/>
              <w:id w:val="857628237"/>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Prince Edward Island</w:t>
            </w:r>
          </w:p>
        </w:tc>
        <w:tc>
          <w:tcPr>
            <w:tcW w:w="2026" w:type="dxa"/>
            <w:tcBorders/>
          </w:tcPr>
          <w:sdt>
            <w:sdtPr>
              <w:alias w:val="Estimated prevalence — Prince Edward Island — lower estimate"/>
              <w:id w:val="1425175969"/>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Prince Edward Island — best estimate"/>
              <w:id w:val="503914152"/>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Prince Edward Island — upper estimate"/>
              <w:id w:val="244229309"/>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Saskatchewan</w:t>
            </w:r>
          </w:p>
        </w:tc>
        <w:tc>
          <w:tcPr>
            <w:tcW w:w="2026" w:type="dxa"/>
            <w:tcBorders/>
          </w:tcPr>
          <w:sdt>
            <w:sdtPr>
              <w:alias w:val="Estimated prevalence — Saskatchewan — lower estimate"/>
              <w:id w:val="50866461"/>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Saskatchewan — best estimate"/>
              <w:id w:val="1870012319"/>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Saskatchewan — upper estimate"/>
              <w:id w:val="1477188374"/>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Yukon</w:t>
            </w:r>
          </w:p>
        </w:tc>
        <w:tc>
          <w:tcPr>
            <w:tcW w:w="2026" w:type="dxa"/>
            <w:tcBorders/>
          </w:tcPr>
          <w:sdt>
            <w:sdtPr>
              <w:alias w:val="Estimated prevalence — Yukon — lower estimate"/>
              <w:id w:val="1187982909"/>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Yukon — best estimate"/>
              <w:id w:val="1237249317"/>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Yukon — upper estimate"/>
              <w:id w:val="1079986308"/>
            </w:sdtPr>
            <w:sdtContent>
              <w:p>
                <w:pPr>
                  <w:pStyle w:val="BodyCopyWorking"/>
                </w:pPr>
                <w:r>
                  <w:rPr>
                    <w:rFonts w:ascii="Arial" w:hAnsi="Arial" w:cs="Arial"/>
                    <w:sz w:val="18"/>
                    <w:color w:val="000000"/>
                  </w:rPr>
                  <w:t xml:space="preserve">Not reported. (CSR p. 31: background.)</w:t>
                </w:r>
              </w:p>
            </w:sdtContent>
          </w:sdt>
        </w:tc>
      </w:tr>
      <w:tr>
        <w:trPr>
          <w:cantSpli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Non-Insured Health Benefits</w:t>
            </w:r>
          </w:p>
        </w:tc>
        <w:tc>
          <w:tcPr>
            <w:tcW w:w="2026" w:type="dxa"/>
            <w:tcBorders/>
          </w:tcPr>
          <w:sdt>
            <w:sdtPr>
              <w:alias w:val="Estimated prevalence — Non-Insured Health Benefits — lower estimate"/>
              <w:id w:val="106495390"/>
            </w:sdtPr>
            <w:sdtContent>
              <w:p>
                <w:pPr>
                  <w:pStyle w:val="BodyCopyWorking"/>
                </w:pPr>
                <w:r>
                  <w:rPr>
                    <w:rFonts w:ascii="Arial" w:hAnsi="Arial" w:cs="Arial"/>
                    <w:sz w:val="18"/>
                    <w:color w:val="000000"/>
                  </w:rPr>
                  <w:t xml:space="preserve">Not reported. (CSR p. 31: background.)</w:t>
                </w:r>
              </w:p>
            </w:sdtContent>
          </w:sdt>
        </w:tc>
        <w:tc>
          <w:tcPr>
            <w:tcW w:w="1845" w:type="dxa"/>
            <w:tcBorders/>
          </w:tcPr>
          <w:sdt>
            <w:sdtPr>
              <w:alias w:val="Estimated prevalence — Non-Insured Health Benefits — best estimate"/>
              <w:id w:val="1128413559"/>
            </w:sdtPr>
            <w:sdtContent>
              <w:p>
                <w:pPr>
                  <w:pStyle w:val="BodyCopyWorking"/>
                </w:pPr>
                <w:r>
                  <w:rPr>
                    <w:rFonts w:ascii="Arial" w:hAnsi="Arial" w:cs="Arial"/>
                    <w:sz w:val="18"/>
                    <w:color w:val="000000"/>
                  </w:rPr>
                  <w:t xml:space="preserve">Not reported. (CSR p. 31: background.)</w:t>
                </w:r>
              </w:p>
            </w:sdtContent>
          </w:sdt>
        </w:tc>
        <w:tc>
          <w:tcPr>
            <w:tcW w:w="1957" w:type="dxa"/>
            <w:tcBorders/>
          </w:tcPr>
          <w:sdt>
            <w:sdtPr>
              <w:alias w:val="Estimated prevalence — Non-Insured Health Benefits — upper estimate"/>
              <w:id w:val="1512039669"/>
            </w:sdtPr>
            <w:sdtContent>
              <w:p>
                <w:pPr>
                  <w:pStyle w:val="BodyCopyWorking"/>
                </w:pPr>
                <w:r>
                  <w:rPr>
                    <w:rFonts w:ascii="Arial" w:hAnsi="Arial" w:cs="Arial"/>
                    <w:sz w:val="18"/>
                    <w:color w:val="000000"/>
                  </w:rPr>
                  <w:t xml:space="preserve">Not reported. (CSR p. 31: background.)</w:t>
                </w:r>
              </w:p>
            </w:sdtContent>
          </w:sdt>
        </w:tc>
      </w:tr>
    </w:tbl>
    <w:p>
      <w:pPr>
        <w:pStyle w:val="Normal"/>
        <w:rPr>
          <w:highlight w:val="yellow"/>
        </w:rPr>
      </w:pPr>
      <w:r>
        <w:rPr>
          <w:highlight w:val="yellow"/>
        </w:rPr>
      </w:r>
    </w:p>
    <w:p>
      <w:pPr>
        <w:pStyle w:val="Subheadinglvl1Working"/>
        <w:rPr/>
      </w:pPr>
      <w:r>
        <w:rPr/>
        <w:t>Diagnosis of the Condition</w:t>
      </w:r>
    </w:p>
    <w:p>
      <w:pPr>
        <w:pStyle w:val="Subheadinglvl2Working"/>
        <w:rPr/>
      </w:pPr>
      <w:r>
        <w:rPr/>
        <w:t>Diagnostic Testing Requirements</w:t>
      </w:r>
    </w:p>
    <w:sdt>
      <w:sdtPr>
        <w:alias w:val="Diagnosis — diagnostic testing requirements"/>
        <w:id w:val="1333223319"/>
      </w:sdtPr>
      <w:sdtContent>
        <w:p>
          <w:pPr>
            <w:pStyle w:val="BodyCopyWorking"/>
          </w:pPr>
          <w:r>
            <w:rPr>
              <w:rFonts w:ascii="Arial" w:hAnsi="Arial" w:cs="Arial"/>
              <w:sz w:val="20"/>
              <w:color w:val="000000"/>
            </w:rPr>
            <w:t xml:space="preserve">Trial assessment included body weight, height/BMI, waist circumference and laboratory measures including HbA1c and fasting plasma glucose; HbA1c ≥6.5% was a key exclusion. Requirements for routine Canadian diagnostic testing are not reported. (CSR pp. 37, 45-46.)</w:t>
          </w:r>
        </w:p>
      </w:sdtContent>
    </w:sdt>
    <w:p>
      <w:pPr>
        <w:pStyle w:val="Subheadinglvl2Working"/>
        <w:rPr/>
      </w:pPr>
      <w:r>
        <w:rPr/>
        <w:t>Availability of Diagnostic Testing</w:t>
      </w:r>
    </w:p>
    <w:sdt>
      <w:sdtPr>
        <w:alias w:val="Diagnosis — availability of diagnostic testing"/>
        <w:id w:val="804539857"/>
      </w:sdtPr>
      <w:sdtContent>
        <w:p>
          <w:pPr>
            <w:pStyle w:val="BodyCopyWorking"/>
          </w:pPr>
          <w:r>
            <w:rPr>
              <w:rFonts w:ascii="Arial" w:hAnsi="Arial" w:cs="Arial"/>
              <w:sz w:val="20"/>
              <w:color w:val="000000"/>
            </w:rPr>
            <w:t xml:space="preserve">Central and specialized laboratories were used in the trial; availability, access barriers and coverage of diagnostic testing in Canadian practice are not reported. (CSR p. 29.)</w:t>
          </w:r>
        </w:p>
      </w:sdtContent>
    </w:sdt>
    <w:p>
      <w:pPr>
        <w:pStyle w:val="Subheadinglvl1Working"/>
        <w:rPr/>
      </w:pPr>
      <w:r>
        <w:rPr/>
        <w:t>Health Care Resources</w:t>
      </w:r>
    </w:p>
    <w:p>
      <w:pPr>
        <w:pStyle w:val="Subheadinglvl2Working"/>
        <w:rPr/>
      </w:pPr>
      <w:r>
        <w:rPr/>
        <w:t>Pre-Treatment Phase</w:t>
      </w:r>
    </w:p>
    <w:sdt>
      <w:sdtPr>
        <w:alias w:val="Health Care Resources - Pre-treatment phase"/>
        <w:id w:val="193925407"/>
      </w:sdtPr>
      <w:sdtContent>
        <w:p>
          <w:pPr>
            <w:pStyle w:val="BodyCopyWorking"/>
          </w:pPr>
          <w:r>
            <w:rPr>
              <w:rFonts w:ascii="Arial" w:hAnsi="Arial" w:cs="Arial"/>
              <w:sz w:val="20"/>
              <w:color w:val="000000"/>
            </w:rPr>
            <w:t xml:space="preserve">Trial screening assessed eligibility and included a food diary and mental-health randomization criteria. Canadian pre-treatment resource use and costs are not reported. (CSR pp. 37-38.)</w:t>
          </w:r>
        </w:p>
      </w:sdtContent>
    </w:sdt>
    <w:p>
      <w:pPr>
        <w:pStyle w:val="Subheadinglvl2Working"/>
        <w:rPr/>
      </w:pPr>
      <w:r>
        <w:rPr/>
        <w:t>Treatment Phase</w:t>
      </w:r>
    </w:p>
    <w:sdt>
      <w:sdtPr>
        <w:alias w:val="Health care resources — treatment phase"/>
        <w:id w:val="1753192794"/>
      </w:sdtPr>
      <w:sdtContent>
        <w:p>
          <w:pPr>
            <w:pStyle w:val="BodyCopyWorking"/>
          </w:pPr>
          <w:r>
            <w:rPr>
              <w:rFonts w:ascii="Arial" w:hAnsi="Arial" w:cs="Arial"/>
              <w:sz w:val="20"/>
              <w:color w:val="000000"/>
            </w:rPr>
            <w:t xml:space="preserve">Both groups received counselling every 4 weeks for a 500 kcal/day deficit and ≥150 minutes/week of physical activity, with daily food/activity records. (CSR p. 41.) Trial use of injections and safety assessments is described, but routine-care resource quantities and costs are not reported. (CSR pp. 39-41, 47-55.)</w:t>
          </w:r>
        </w:p>
      </w:sdtContent>
    </w:sdt>
    <w:p>
      <w:pPr>
        <w:pStyle w:val="Subheadinglvl2Working"/>
        <w:rPr/>
      </w:pPr>
      <w:r>
        <w:rPr/>
        <w:t>Post-Treatment Phase</w:t>
      </w:r>
    </w:p>
    <w:sdt>
      <w:sdtPr>
        <w:alias w:val="Health Care Resources - Post-treatment phase"/>
        <w:id w:val="1278843648"/>
      </w:sdtPr>
      <w:sdtContent>
        <w:p>
          <w:pPr>
            <w:pStyle w:val="BodyCopyWorking"/>
          </w:pPr>
          <w:r>
            <w:rPr>
              <w:rFonts w:ascii="Arial" w:hAnsi="Arial" w:cs="Arial"/>
              <w:sz w:val="20"/>
              <w:color w:val="000000"/>
            </w:rPr>
            <w:t xml:space="preserve">A safety follow-up visit was scheduled 7 weeks after treatment; routine Canadian post-treatment resource use and costs are not reported. (CSR pp. 35-36.)</w:t>
          </w:r>
        </w:p>
      </w:sdtContent>
    </w:sdt>
    <w:p>
      <w:pPr>
        <w:pStyle w:val="Headinglvl1Working"/>
        <w:rPr/>
      </w:pPr>
      <w:bookmarkStart w:id="37" w:name="_Toc13042104"/>
      <w:bookmarkStart w:id="38" w:name="_Toc216182100"/>
      <w:bookmarkStart w:id="39" w:name="_Toc436038443"/>
      <w:bookmarkStart w:id="40" w:name="_Toc93475831"/>
      <w:bookmarkStart w:id="41" w:name="__RefHeading___Toc6238_3477833118"/>
      <w:bookmarkEnd w:id="41"/>
      <w:r>
        <w:rPr/>
        <w:t>Place in Therapy and Comparators</w:t>
      </w:r>
      <w:bookmarkEnd w:id="37"/>
      <w:bookmarkEnd w:id="38"/>
      <w:bookmarkEnd w:id="39"/>
      <w:bookmarkEnd w:id="35"/>
      <w:bookmarkEnd w:id="40"/>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color w:val="C00000"/>
          <w:sz w:val="20"/>
          <w:szCs w:val="20"/>
        </w:rPr>
      </w:pPr>
      <w:r>
        <w:rPr/>
        <w:t>Current Treatment Paradigm</w:t>
      </w:r>
    </w:p>
    <w:sdt>
      <w:sdtPr>
        <w:alias w:val="Place in therapy — current treatment paradigm"/>
        <w:id w:val="1769136716"/>
      </w:sdtPr>
      <w:sdtContent>
        <w:p>
          <w:pPr>
            <w:pStyle w:val="BodyCopyWorking"/>
          </w:pPr>
          <w:r>
            <w:rPr>
              <w:rFonts w:ascii="Arial" w:hAnsi="Arial" w:cs="Arial"/>
              <w:sz w:val="20"/>
              <w:color w:val="000000"/>
            </w:rPr>
            <w:t xml:space="preserve">The CSR describes lifestyle intervention (diet and exercise) as first-line treatment, bariatric surgery as an option for some people with severe obesity, and pharmacotherapy as a potential alternative. It does not set out a Canadian reimbursement algorithm. (CSR pp. 31, 36.)</w:t>
          </w:r>
        </w:p>
      </w:sdtContent>
    </w:sdt>
    <w:p>
      <w:pPr>
        <w:pStyle w:val="Subheadinglvl1Working"/>
        <w:rPr>
          <w:color w:val="C00000"/>
          <w:sz w:val="20"/>
          <w:szCs w:val="20"/>
        </w:rPr>
      </w:pPr>
      <w:r>
        <w:rPr/>
        <w:t>Unmet Therapeutic Needs</w:t>
      </w:r>
    </w:p>
    <w:sdt>
      <w:sdtPr>
        <w:alias w:val="Place in therapy — unmet therapeutic needs"/>
        <w:id w:val="313885677"/>
      </w:sdtPr>
      <w:sdtContent>
        <w:p>
          <w:pPr>
            <w:pStyle w:val="BodyCopyWorking"/>
          </w:pPr>
          <w:r>
            <w:rPr>
              <w:rFonts w:ascii="Arial" w:hAnsi="Arial" w:cs="Arial"/>
              <w:sz w:val="20"/>
              <w:color w:val="000000"/>
            </w:rPr>
            <w:t xml:space="preserve">The CSR identifies difficulty sustaining weight loss, biological responses promoting regain, limitations of surgery and a need for safe, effective, convenient therapies supporting weight maintenance and comorbidity management. (CSR p. 31.)</w:t>
          </w:r>
        </w:p>
      </w:sdtContent>
    </w:sdt>
    <w:p>
      <w:pPr>
        <w:pStyle w:val="Subheadinglvl1Working"/>
        <w:rPr/>
      </w:pPr>
      <w:r>
        <w:rPr/>
        <w:t>Impact of Drug on Treatment Paradigm</w:t>
      </w:r>
    </w:p>
    <w:p>
      <w:pPr>
        <w:pStyle w:val="Subheadinglvl2Working"/>
        <w:rPr/>
      </w:pPr>
      <w:r>
        <w:rPr/>
        <w:t xml:space="preserve">Proposed Place in Therapy </w:t>
      </w:r>
    </w:p>
    <w:p>
      <w:pPr>
        <w:pStyle w:val="Normal"/>
        <w:spacing w:lineRule="auto" w:line="276"/>
        <w:rPr/>
      </w:pPr>
      <w:sdt>
        <w:sdtPr>
          <w:alias w:val="Place in therapy — proposed place in therapy"/>
          <w:id w:val="703979793"/>
        </w:sdtPr>
        <w:sdtContent>
          <w:r>
            <w:rPr>
              <w:rFonts w:ascii="Arial" w:hAnsi="Arial" w:cs="Arial"/>
              <w:sz w:val="20"/>
              <w:color w:val="000000"/>
            </w:rPr>
            <w:t xml:space="preserve">Adults aged ≥18 years with BMI ≥30 kg/m², or ≥27 kg/m² with hypertension, dyslipidaemia, obstructive sleep apnoea or cardiovascular disease, and ≥1 unsuccessful dietary weight-loss effort; type 2 diabetes excluded. (CSR pp. 36-37.) Canadian reimbursement positioning is not reported. (CSR pp. 32-37.)</w:t>
          </w:r>
        </w:sdtContent>
      </w:sdt>
    </w:p>
    <w:p>
      <w:pPr>
        <w:pStyle w:val="Subheadinglvl2Working"/>
        <w:rPr/>
      </w:pPr>
      <w:r>
        <w:rPr/>
        <w:t xml:space="preserve">Potential Impact on Currently Reimbursed Treatments </w:t>
      </w:r>
    </w:p>
    <w:p>
      <w:pPr>
        <w:pStyle w:val="Normal"/>
        <w:rPr/>
      </w:pPr>
      <w:sdt>
        <w:sdtPr>
          <w:alias w:val="Place in therapy — impact on currently reimbursed treatments"/>
          <w:id w:val="678809355"/>
        </w:sdtPr>
        <w:sdtContent>
          <w:r>
            <w:rPr>
              <w:rFonts w:ascii="Arial" w:hAnsi="Arial" w:cs="Arial"/>
              <w:sz w:val="20"/>
              <w:color w:val="000000"/>
            </w:rPr>
            <w:t xml:space="preserve">Effects on utilization, displacement or funding of currently reimbursed treatments are not reported. (CSR pp. 31-37: trial rationale and comparator.)</w:t>
          </w:r>
        </w:sdtContent>
      </w:sdt>
    </w:p>
    <w:p>
      <w:pPr>
        <w:pStyle w:val="Subheadinglvl2Working"/>
        <w:rPr/>
      </w:pPr>
      <w:r>
        <w:rPr/>
        <w:t>Provisional Algorithm Diagram (oncology drugs)</w:t>
      </w:r>
    </w:p>
    <w:p>
      <w:pPr>
        <w:pStyle w:val="BulletedListlvl2Working"/>
        <w:numPr>
          <w:ilvl w:val="0"/>
          <w:numId w:val="0"/>
        </w:numPr>
        <w:spacing w:lineRule="auto" w:line="276"/>
        <w:ind w:hanging="0" w:start="0"/>
        <w:rPr>
          <w:color w:val="000000"/>
        </w:rPr>
      </w:pPr>
      <w:sdt>
        <w:sdtPr>
          <w:alias w:val="Provisional algorithm diagram - description"/>
          <w:id w:val="1892960731"/>
        </w:sdtPr>
        <w:sdtContent>
          <w:r>
            <w:rPr>
              <w:rFonts w:ascii="Arial" w:hAnsi="Arial" w:cs="Arial"/>
              <w:sz w:val="20"/>
              <w:color w:val="000000"/>
            </w:rPr>
            <w:t xml:space="preserve">Not applicable to this weight-management trial; an oncology treatment algorithm is not reported. (CSR pp. 2, 32-37.)</w:t>
          </w:r>
        </w:sdtContent>
      </w:sdt>
    </w:p>
    <w:p>
      <w:pPr>
        <w:pStyle w:val="TableTitleCADTH"/>
        <w:rPr>
          <w:bCs/>
          <w:color w:val="auto"/>
          <w:sz w:val="20"/>
          <w:szCs w:val="20"/>
        </w:rPr>
      </w:pPr>
      <w:sdt>
        <w:sdtPr>
          <w:alias w:val="Place in therapy — provisional algorithm figure"/>
          <w:id w:val="518136981"/>
          <w:picture/>
        </w:sdtPr>
        <w:sdtContent>
          <w:r>
            <w:rPr>
              <w:rFonts w:ascii="Arial" w:hAnsi="Arial" w:cs="Arial"/>
              <w:sz w:val="20"/>
              <w:color w:val="000000"/>
            </w:rPr>
            <w:t xml:space="preserve">Not applicable to this weight-management trial; an oncology treatment algorithm is not reported. (CSR pp. 2, 32-37.)</w:t>
          </w:r>
        </w:sdtContent>
      </w:sdt>
    </w:p>
    <w:p>
      <w:pPr>
        <w:pStyle w:val="TableTitleCADTH"/>
        <w:rPr>
          <w:bCs/>
          <w:color w:val="auto"/>
          <w:sz w:val="20"/>
          <w:szCs w:val="20"/>
        </w:rPr>
      </w:pPr>
      <w:r>
        <w:rPr>
          <w:bCs/>
          <w:color w:val="auto"/>
          <w:sz w:val="20"/>
          <w:szCs w:val="20"/>
        </w:rPr>
      </w:r>
    </w:p>
    <w:p>
      <w:pPr>
        <w:pStyle w:val="Subheadinglvl1Working"/>
        <w:rPr/>
      </w:pPr>
      <w:r>
        <w:rPr/>
        <w:t>Comparators</w:t>
      </w:r>
    </w:p>
    <w:sdt>
      <w:sdtPr>
        <w:alias w:val="Comparators description"/>
        <w:id w:val="1759026699"/>
      </w:sdtPr>
      <w:sdtContent>
        <w:p>
          <w:pPr>
            <w:pStyle w:val="BodyCopyWorking"/>
          </w:pPr>
          <w:r>
            <w:rPr>
              <w:rFonts w:ascii="Arial" w:hAnsi="Arial" w:cs="Arial"/>
              <w:sz w:val="20"/>
              <w:color w:val="000000"/>
            </w:rPr>
            <w:t xml:space="preserve">The randomized comparator was matching subcutaneous placebo plus the same lifestyle intervention. No active-comparator randomized arm is reported. (CSR pp. 37, 39-41.)</w:t>
          </w:r>
        </w:p>
      </w:sdtContent>
    </w:sdt>
    <w:p>
      <w:pPr>
        <w:pStyle w:val="TableTitleCADTH"/>
        <w:rPr>
          <w:bCs/>
          <w:color w:val="auto"/>
          <w:sz w:val="20"/>
          <w:szCs w:val="20"/>
        </w:rPr>
      </w:pPr>
      <w:bookmarkStart w:id="42" w:name="_Toc93475811"/>
      <w:r>
        <w:rPr>
          <w:color w:val="auto"/>
          <w:sz w:val="20"/>
          <w:szCs w:val="20"/>
        </w:rPr>
      </w:r>
      <w:r>
        <w:rPr>
          <w:bCs/>
          <w:color w:val="auto"/>
          <w:sz w:val="20"/>
          <w:szCs w:val="20"/>
        </w:rPr>
      </w:r>
      <w:bookmarkEnd w:id="42"/>
      <w:r>
        <w:t>Table 3: Key characteristics of Drug 1, Drug 2, etc.</w:t>
      </w:r>
    </w:p>
    <w:tbl>
      <w:tblPr>
        <w:tblStyle w:val="TableGrid"/>
        <w:tblW w:w="10815"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1784"/>
        <w:gridCol w:w="3078"/>
        <w:gridCol w:w="2835"/>
        <w:gridCol w:w="1559"/>
        <w:gridCol w:w="1559"/>
      </w:tblGrid>
      <w:tr>
        <w:trPr>
          <w:trHeight w:val="104" w:hRule="atLeast"/>
          <w:cantSplit/>
        </w:trPr>
        <w:tc>
          <w:tcPr>
            <w:tcW w:w="1784"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Drug</w:t>
            </w:r>
          </w:p>
        </w:tc>
        <w:tc>
          <w:tcPr>
            <w:tcW w:w="3078"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Indication(s)</w:t>
            </w:r>
          </w:p>
        </w:tc>
        <w:tc>
          <w:tcPr>
            <w:tcW w:w="2835"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Route and Dose</w:t>
            </w:r>
          </w:p>
        </w:tc>
        <w:tc>
          <w:tcPr>
            <w:tcW w:w="3118" w:type="dxa"/>
            <w:gridSpan w:val="2"/>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Role in Application</w:t>
            </w:r>
          </w:p>
        </w:tc>
      </w:tr>
      <w:tr>
        <w:trPr>
          <w:cantSplit/>
        </w:trPr>
        <w:tc>
          <w:tcPr>
            <w:tcW w:w="1784"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3078"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2835"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1558"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indirect comparison</w:t>
            </w:r>
          </w:p>
        </w:tc>
        <w:tc>
          <w:tcPr>
            <w:tcW w:w="1560"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PE</w:t>
            </w:r>
          </w:p>
        </w:tc>
      </w:tr>
      <w:tr>
        <w:trPr>
          <w:cantSplit/>
        </w:trPr>
        <w:tc>
          <w:tcPr>
            <w:tcW w:w="1784" w:type="dxa"/>
            <w:tcBorders/>
          </w:tcPr>
          <w:p>
            <w:pPr>
              <w:pStyle w:val="Normal"/>
              <w:widowControl/>
              <w:suppressAutoHyphens w:val="true"/>
              <w:spacing w:before="0" w:after="60"/>
              <w:jc w:val="start"/>
              <w:rPr/>
            </w:pPr>
            <w:sdt>
              <w:sdtPr>
                <w:alias w:val="Comparators — drug under review name"/>
                <w:id w:val="284852098"/>
              </w:sdtPr>
              <w:sdtContent>
                <w:r>
                  <w:rPr>
                    <w:rFonts w:ascii="Arial" w:hAnsi="Arial" w:cs="Arial"/>
                    <w:sz w:val="18"/>
                    <w:color w:val="000000"/>
                  </w:rPr>
                  <w:t xml:space="preserve">Semaglutide. (CSR p. 40.)</w:t>
                </w:r>
              </w:sdtContent>
            </w:sdt>
          </w:p>
        </w:tc>
        <w:tc>
          <w:tcPr>
            <w:tcW w:w="3078" w:type="dxa"/>
            <w:tcBorders/>
          </w:tcPr>
          <w:p>
            <w:pPr>
              <w:pStyle w:val="Normal"/>
              <w:widowControl/>
              <w:suppressAutoHyphens w:val="true"/>
              <w:spacing w:before="0" w:after="60"/>
              <w:jc w:val="start"/>
              <w:rPr/>
            </w:pPr>
            <w:sdt>
              <w:sdtPr>
                <w:alias w:val="Comparators — drug under review indication"/>
                <w:id w:val="1583495440"/>
              </w:sdtPr>
              <w:sdtContent>
                <w:r>
                  <w:rPr>
                    <w:rFonts w:ascii="Arial" w:hAnsi="Arial" w:cs="Arial"/>
                    <w:sz w:val="18"/>
                    <w:color w:val="000000"/>
                  </w:rPr>
                  <w:t xml:space="preserve">Trial: weight management; Canadian indication not reported. (CSR pp. 2, 37.)</w:t>
                </w:r>
              </w:sdtContent>
            </w:sdt>
          </w:p>
        </w:tc>
        <w:tc>
          <w:tcPr>
            <w:tcW w:w="2835" w:type="dxa"/>
            <w:tcBorders/>
          </w:tcPr>
          <w:p>
            <w:pPr>
              <w:pStyle w:val="Normal"/>
              <w:widowControl/>
              <w:suppressAutoHyphens w:val="true"/>
              <w:spacing w:before="0" w:after="60"/>
              <w:jc w:val="start"/>
              <w:rPr/>
            </w:pPr>
            <w:sdt>
              <w:sdtPr>
                <w:alias w:val="Comparators — drug under review regimen"/>
                <w:id w:val="1189929439"/>
              </w:sdtPr>
              <w:sdtContent>
                <w:r>
                  <w:rPr>
                    <w:rFonts w:ascii="Arial" w:hAnsi="Arial" w:cs="Arial"/>
                    <w:sz w:val="18"/>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w:t>
                </w:r>
              </w:sdtContent>
            </w:sdt>
          </w:p>
        </w:tc>
        <w:tc>
          <w:tcPr>
            <w:tcW w:w="1558"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p>
            <w:pPr>
              <w:keepNext w:val="0"/>
            </w:pPr>
            <w:sdt>
              <w:sdtPr>
                <w:alias w:val="Completed response — Not reported in the supplied CSR: no indirect comparison is prese"/>
                <w:id w:val="1900000001"/>
              </w:sdtPr>
              <w:sdtContent>
                <w:r>
                  <w:rPr>
                    <w:rFonts w:ascii="Arial" w:hAnsi="Arial"/>
                    <w:color w:val="000000"/>
                    <w:sz w:val="18"/>
                  </w:rPr>
                  <w:t>Not reported in the supplied CSR: no indirect comparison is presented. (CSR pp. 32-37: direct placebo-controlled trial.)</w:t>
                </w:r>
              </w:sdtContent>
            </w:sdt>
          </w:p>
        </w:tc>
        <w:tc>
          <w:tcPr>
            <w:tcW w:w="1560"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p>
            <w:pPr>
              <w:keepNext w:val="0"/>
            </w:pPr>
            <w:sdt>
              <w:sdtPr>
                <w:alias w:val="Completed response — Not reported in the supplied CSR: no pharmacoeconomic submission "/>
                <w:id w:val="1900000002"/>
              </w:sdtPr>
              <w:sdtContent>
                <w:r>
                  <w:rPr>
                    <w:rFonts w:ascii="Arial" w:hAnsi="Arial"/>
                    <w:color w:val="000000"/>
                    <w:sz w:val="18"/>
                  </w:rPr>
                  <w:t>Not reported in the supplied CSR: no pharmacoeconomic submission is presented. (CSR pp. 1, 32-36: clinical-trial scope.)</w:t>
                </w:r>
              </w:sdtContent>
            </w:sdt>
          </w:p>
        </w:tc>
      </w:tr>
      <w:tr>
        <w:trPr>
          <w:cantSplit/>
        </w:trPr>
        <w:tc>
          <w:tcPr>
            <w:tcW w:w="1784" w:type="dxa"/>
            <w:tcBorders/>
          </w:tcPr>
          <w:p>
            <w:pPr>
              <w:pStyle w:val="Normal"/>
              <w:widowControl/>
              <w:suppressAutoHyphens w:val="true"/>
              <w:spacing w:before="0" w:after="60"/>
              <w:jc w:val="start"/>
              <w:rPr/>
            </w:pPr>
            <w:sdt>
              <w:sdtPr>
                <w:alias w:val="Comparators — comparator 1 name"/>
                <w:id w:val="1472527722"/>
              </w:sdtPr>
              <w:sdtContent>
                <w:r>
                  <w:rPr>
                    <w:rFonts w:ascii="Arial" w:hAnsi="Arial" w:cs="Arial"/>
                    <w:sz w:val="18"/>
                    <w:color w:val="000000"/>
                  </w:rPr>
                  <w:t xml:space="preserve">Matching placebo. (CSR p. 40.)</w:t>
                </w:r>
              </w:sdtContent>
            </w:sdt>
          </w:p>
        </w:tc>
        <w:tc>
          <w:tcPr>
            <w:tcW w:w="3078" w:type="dxa"/>
            <w:tcBorders/>
          </w:tcPr>
          <w:p>
            <w:pPr>
              <w:pStyle w:val="Normal"/>
              <w:widowControl/>
              <w:suppressAutoHyphens w:val="true"/>
              <w:spacing w:before="0" w:after="60"/>
              <w:jc w:val="start"/>
              <w:rPr/>
            </w:pPr>
            <w:sdt>
              <w:sdtPr>
                <w:alias w:val="Comparators — comparator 1 indication"/>
                <w:id w:val="351979935"/>
              </w:sdtPr>
              <w:sdtContent>
                <w:r>
                  <w:rPr>
                    <w:rFonts w:ascii="Arial" w:hAnsi="Arial" w:cs="Arial"/>
                    <w:sz w:val="18"/>
                    <w:color w:val="000000"/>
                  </w:rPr>
                  <w:t xml:space="preserve">Control intervention in STEP 1. (CSR p. 37.)</w:t>
                </w:r>
              </w:sdtContent>
            </w:sdt>
          </w:p>
        </w:tc>
        <w:tc>
          <w:tcPr>
            <w:tcW w:w="2835" w:type="dxa"/>
            <w:tcBorders/>
          </w:tcPr>
          <w:p>
            <w:pPr>
              <w:pStyle w:val="Normal"/>
              <w:widowControl/>
              <w:suppressAutoHyphens w:val="true"/>
              <w:spacing w:before="0" w:after="60"/>
              <w:jc w:val="start"/>
              <w:rPr>
                <w:b w:val="false"/>
                <w:bCs w:val="false"/>
              </w:rPr>
            </w:pPr>
            <w:sdt>
              <w:sdtPr>
                <w:alias w:val="Comparators — comparator 1 regimen"/>
                <w:id w:val="1248902499"/>
              </w:sdtPr>
              <w:sdtContent>
                <w:r>
                  <w:rPr>
                    <w:rFonts w:ascii="Arial" w:hAnsi="Arial" w:cs="Arial"/>
                    <w:sz w:val="18"/>
                    <w:color w:val="000000"/>
                  </w:rPr>
                  <w:t xml:space="preserve">Subcutaneous once weekly; volume matched to semaglutide escalation and maintenance; same lifestyle counselling. (CSR pp. 39-41.)</w:t>
                </w:r>
              </w:sdtContent>
            </w:sdt>
          </w:p>
        </w:tc>
        <w:tc>
          <w:tcPr>
            <w:tcW w:w="1558" w:type="dxa"/>
            <w:tcBorders/>
          </w:tcPr>
          <w:p>
            <w:pPr>
              <w:pStyle w:val="Normal"/>
              <w:widowControl/>
              <w:suppressAutoHyphens w:val="true"/>
              <w:spacing w:before="0" w:after="60"/>
              <w:jc w:val="center"/>
              <w:rPr/>
            </w:pPr>
            <w:sdt>
              <w:sdtPr>
                <w:alias w:val="Comparators — comparator 1 indirect comparison rationale"/>
                <w:id w:val="2138645005"/>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1560" w:type="dxa"/>
            <w:tcBorders/>
          </w:tcPr>
          <w:p>
            <w:pPr>
              <w:pStyle w:val="Normal"/>
              <w:widowControl/>
              <w:suppressAutoHyphens w:val="true"/>
              <w:spacing w:before="0" w:after="60"/>
              <w:jc w:val="center"/>
              <w:rPr/>
            </w:pPr>
            <w:sdt>
              <w:sdtPr>
                <w:alias w:val="Comparators — comparator 1 pharmacoeconomic evaluation rationale"/>
                <w:id w:val="1584295274"/>
              </w:sdtPr>
              <w:sdtContent>
                <w:r>
                  <w:rPr>
                    <w:rFonts w:ascii="Arial" w:hAnsi="Arial" w:cs="Arial"/>
                    <w:sz w:val="18"/>
                    <w:color w:val="000000"/>
                  </w:rPr>
                  <w:t xml:space="preserve">Not reported in the supplied CSR: no pharmacoeconomic submission is presented. (CSR pp. 1, 32-36: clinical-trial scope.)</w:t>
                </w:r>
              </w:sdtContent>
            </w:sdt>
          </w:p>
        </w:tc>
      </w:tr>
      <w:tr>
        <w:trPr>
          <w:cantSplit/>
        </w:trPr>
        <w:tc>
          <w:tcPr>
            <w:tcW w:w="1784" w:type="dxa"/>
            <w:tcBorders/>
          </w:tcPr>
          <w:p>
            <w:pPr>
              <w:pStyle w:val="Normal"/>
              <w:widowControl/>
              <w:suppressAutoHyphens w:val="true"/>
              <w:spacing w:before="0" w:after="60"/>
              <w:jc w:val="start"/>
              <w:rPr/>
            </w:pPr>
            <w:sdt>
              <w:sdtPr>
                <w:alias w:val="Comparators — comparator 2 name"/>
                <w:id w:val="56679918"/>
              </w:sdtPr>
              <w:sdtContent>
                <w:r>
                  <w:rPr>
                    <w:rFonts w:ascii="Arial" w:hAnsi="Arial" w:cs="Arial"/>
                    <w:sz w:val="18"/>
                    <w:color w:val="000000"/>
                  </w:rPr>
                  <w:t xml:space="preserve">Not reported in the supplied CSR. (CSR pp. 1, 32, 35-36: report scope.)</w:t>
                </w:r>
              </w:sdtContent>
            </w:sdt>
          </w:p>
        </w:tc>
        <w:tc>
          <w:tcPr>
            <w:tcW w:w="3078" w:type="dxa"/>
            <w:tcBorders/>
          </w:tcPr>
          <w:p>
            <w:pPr>
              <w:pStyle w:val="Normal"/>
              <w:widowControl/>
              <w:suppressAutoHyphens w:val="true"/>
              <w:spacing w:before="0" w:after="60"/>
              <w:jc w:val="start"/>
              <w:rPr/>
            </w:pPr>
            <w:sdt>
              <w:sdtPr>
                <w:alias w:val="Comparators — comparator 2 indication"/>
                <w:id w:val="1139272176"/>
              </w:sdtPr>
              <w:sdtContent>
                <w:r>
                  <w:rPr>
                    <w:rFonts w:ascii="Arial" w:hAnsi="Arial" w:cs="Arial"/>
                    <w:sz w:val="18"/>
                    <w:color w:val="000000"/>
                  </w:rPr>
                  <w:t xml:space="preserve">Not reported in the supplied CSR. (CSR pp. 1, 32, 35-36: report scope.)</w:t>
                </w:r>
              </w:sdtContent>
            </w:sdt>
          </w:p>
        </w:tc>
        <w:tc>
          <w:tcPr>
            <w:tcW w:w="2835" w:type="dxa"/>
            <w:tcBorders/>
          </w:tcPr>
          <w:p>
            <w:pPr>
              <w:pStyle w:val="Normal"/>
              <w:widowControl/>
              <w:suppressAutoHyphens w:val="true"/>
              <w:spacing w:before="0" w:after="60"/>
              <w:jc w:val="start"/>
              <w:rPr/>
            </w:pPr>
            <w:sdt>
              <w:sdtPr>
                <w:alias w:val="Comparators — comparator 2 regimen"/>
                <w:id w:val="1671645521"/>
              </w:sdtPr>
              <w:sdtContent>
                <w:r>
                  <w:rPr>
                    <w:rFonts w:ascii="Arial" w:hAnsi="Arial" w:cs="Arial"/>
                    <w:sz w:val="18"/>
                    <w:color w:val="000000"/>
                  </w:rPr>
                  <w:t xml:space="preserve">Not reported in the supplied CSR. (CSR pp. 1, 32, 35-36: report scope.)</w:t>
                </w:r>
              </w:sdtContent>
            </w:sdt>
          </w:p>
        </w:tc>
        <w:tc>
          <w:tcPr>
            <w:tcW w:w="1558" w:type="dxa"/>
            <w:tcBorders/>
          </w:tcPr>
          <w:p>
            <w:pPr>
              <w:pStyle w:val="Normal"/>
              <w:widowControl/>
              <w:suppressAutoHyphens w:val="true"/>
              <w:spacing w:before="0" w:after="60"/>
              <w:jc w:val="center"/>
              <w:rPr/>
            </w:pPr>
            <w:sdt>
              <w:sdtPr>
                <w:alias w:val="Comparators — comparator 2 indirect comparison rationale"/>
                <w:id w:val="1471605575"/>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1560" w:type="dxa"/>
            <w:tcBorders/>
          </w:tcPr>
          <w:p>
            <w:pPr>
              <w:pStyle w:val="Normal"/>
              <w:widowControl/>
              <w:suppressAutoHyphens w:val="true"/>
              <w:spacing w:before="0" w:after="60"/>
              <w:jc w:val="center"/>
              <w:rPr/>
            </w:pPr>
            <w:sdt>
              <w:sdtPr>
                <w:alias w:val="Comparators — comparator 2 pharmacoeconomic evaluation rationale"/>
                <w:id w:val="1117325907"/>
              </w:sdtPr>
              <w:sdtContent>
                <w:r>
                  <w:rPr>
                    <w:rFonts w:ascii="Arial" w:hAnsi="Arial" w:cs="Arial"/>
                    <w:sz w:val="18"/>
                    <w:color w:val="000000"/>
                  </w:rPr>
                  <w:t xml:space="preserve">Not reported in the supplied CSR: no pharmacoeconomic submission is presented. (CSR pp. 1, 32-36: clinical-trial scope.)</w:t>
                </w:r>
              </w:sdtContent>
            </w:sdt>
          </w:p>
        </w:tc>
      </w:tr>
      <w:tr>
        <w:trPr>
          <w:cantSplit/>
        </w:trPr>
        <w:tc>
          <w:tcPr>
            <w:tcW w:w="1784"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p>
            <w:pPr>
              <w:keepNext w:val="0"/>
            </w:pPr>
            <w:sdt>
              <w:sdtPr>
                <w:alias w:val="Completed response — Not reported in the supplied CSR. (CSR pp. 1, 32, 35-36: report s"/>
                <w:id w:val="1900000003"/>
              </w:sdtPr>
              <w:sdtContent>
                <w:r>
                  <w:rPr>
                    <w:rFonts w:ascii="Arial" w:hAnsi="Arial"/>
                    <w:color w:val="000000"/>
                    <w:sz w:val="18"/>
                  </w:rPr>
                  <w:t>Not reported in the supplied CSR. (CSR pp. 1, 32, 35-36: report scope.)</w:t>
                </w:r>
              </w:sdtContent>
            </w:sdt>
          </w:p>
        </w:tc>
        <w:tc>
          <w:tcPr>
            <w:tcW w:w="3078"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p>
            <w:pPr>
              <w:keepNext w:val="0"/>
            </w:pPr>
            <w:sdt>
              <w:sdtPr>
                <w:alias w:val="Completed response — Not reported in the supplied CSR. (CSR pp. 1, 32, 35-36: report s"/>
                <w:id w:val="1900000004"/>
              </w:sdtPr>
              <w:sdtContent>
                <w:r>
                  <w:rPr>
                    <w:rFonts w:ascii="Arial" w:hAnsi="Arial"/>
                    <w:color w:val="000000"/>
                    <w:sz w:val="18"/>
                  </w:rPr>
                  <w:t>Not reported in the supplied CSR. (CSR pp. 1, 32, 35-36: report scope.)</w:t>
                </w:r>
              </w:sdtContent>
            </w:sdt>
          </w:p>
        </w:tc>
        <w:tc>
          <w:tcPr>
            <w:tcW w:w="2835"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p>
            <w:pPr>
              <w:keepNext w:val="0"/>
            </w:pPr>
            <w:sdt>
              <w:sdtPr>
                <w:alias w:val="Completed response — Not reported in the supplied CSR. (CSR pp. 1, 32, 35-36: report s"/>
                <w:id w:val="1900000005"/>
              </w:sdtPr>
              <w:sdtContent>
                <w:r>
                  <w:rPr>
                    <w:rFonts w:ascii="Arial" w:hAnsi="Arial"/>
                    <w:color w:val="000000"/>
                    <w:sz w:val="18"/>
                  </w:rPr>
                  <w:t>Not reported in the supplied CSR. (CSR pp. 1, 32, 35-36: report scope.)</w:t>
                </w:r>
              </w:sdtContent>
            </w:sdt>
          </w:p>
        </w:tc>
        <w:tc>
          <w:tcPr>
            <w:tcW w:w="1558"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Add rows as needed</w:t>
            </w:r>
          </w:p>
          <w:p>
            <w:pPr>
              <w:keepNext w:val="0"/>
            </w:pPr>
            <w:sdt>
              <w:sdtPr>
                <w:alias w:val="Completed response — Not reported in the supplied CSR: no indirect comparison is prese"/>
                <w:id w:val="1900000006"/>
              </w:sdtPr>
              <w:sdtContent>
                <w:r>
                  <w:rPr>
                    <w:rFonts w:ascii="Arial" w:hAnsi="Arial"/>
                    <w:color w:val="000000"/>
                    <w:sz w:val="18"/>
                  </w:rPr>
                  <w:t>Not reported in the supplied CSR: no indirect comparison is presented. (CSR pp. 32-37: direct placebo-controlled trial.)</w:t>
                </w:r>
              </w:sdtContent>
            </w:sdt>
          </w:p>
        </w:tc>
        <w:tc>
          <w:tcPr>
            <w:tcW w:w="1560"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Add rows as needed</w:t>
            </w:r>
          </w:p>
          <w:p>
            <w:pPr>
              <w:keepNext w:val="0"/>
            </w:pPr>
            <w:sdt>
              <w:sdtPr>
                <w:alias w:val="Completed response — Not reported in the supplied CSR: no pharmacoeconomic submission "/>
                <w:id w:val="1900000007"/>
              </w:sdtPr>
              <w:sdtContent>
                <w:r>
                  <w:rPr>
                    <w:rFonts w:ascii="Arial" w:hAnsi="Arial"/>
                    <w:color w:val="000000"/>
                    <w:sz w:val="18"/>
                  </w:rPr>
                  <w:t>Not reported in the supplied CSR: no pharmacoeconomic submission is presented. (CSR pp. 1, 32-36: clinical-trial scope.)</w:t>
                </w:r>
              </w:sdtContent>
            </w:sdt>
          </w:p>
        </w:tc>
      </w:tr>
    </w:tbl>
    <w:p>
      <w:pPr>
        <w:pStyle w:val="TableFooterCADTH"/>
        <w:rPr>
          <w:color w:val="C00000"/>
        </w:rPr>
      </w:pPr>
      <w:r>
        <w:rPr/>
        <w:t xml:space="preserve">Source: </w:t>
      </w:r>
      <w:sdt>
        <w:sdtPr>
          <w:alias w:val="Comparators — data sources"/>
          <w:id w:val="451938502"/>
        </w:sdtPr>
        <w:sdtContent>
          <w:r>
            <w:rPr>
              <w:rFonts w:ascii="Arial" w:hAnsi="Arial" w:cs="Arial"/>
              <w:sz w:val="20"/>
              <w:color w:val="000000"/>
            </w:rPr>
            <w:t xml:space="preserve">Source for completed entries: reference 1, STEP 1 CSR; specific page/table citations appear in each completed field. No other evidence source was used.</w:t>
          </w:r>
        </w:sdtContent>
      </w:sdt>
    </w:p>
    <w:p>
      <w:pPr>
        <w:pStyle w:val="Subheadinglvl1Working"/>
        <w:rPr/>
      </w:pPr>
      <w:r>
        <w:rPr/>
        <w:t xml:space="preserve">Proposed Reimbursement Conditions </w:t>
      </w:r>
    </w:p>
    <w:sdt>
      <w:sdtPr>
        <w:alias w:val="Proposed reimbursement conditions"/>
        <w:id w:val="691662644"/>
      </w:sdtPr>
      <w:sdtContent>
        <w:p>
          <w:pPr>
            <w:pStyle w:val="BodyCopyWorking"/>
          </w:pPr>
          <w:r>
            <w:rPr>
              <w:rFonts w:ascii="Arial" w:hAnsi="Arial" w:cs="Arial"/>
              <w:sz w:val="20"/>
              <w:color w:val="000000"/>
            </w:rPr>
            <w:t xml:space="preserve">Proposed initiation, renewal, discontinuation and prescribing reimbursement conditions and their rationales are not reported; trial eligibility and stopping rules are not reimbursement conditions. (CSR pp. 37-39.)</w:t>
          </w:r>
        </w:p>
      </w:sdtContent>
    </w:sdt>
    <w:p>
      <w:pPr>
        <w:pStyle w:val="TableTitleCADTH"/>
        <w:rPr>
          <w:bCs/>
          <w:color w:val="auto"/>
          <w:sz w:val="20"/>
          <w:szCs w:val="20"/>
        </w:rPr>
      </w:pPr>
      <w:r>
        <w:rPr>
          <w:color w:val="auto"/>
          <w:sz w:val="20"/>
          <w:szCs w:val="20"/>
        </w:rPr>
      </w:r>
      <w:r>
        <w:rPr>
          <w:bCs/>
          <w:color w:val="auto"/>
          <w:sz w:val="20"/>
          <w:szCs w:val="20"/>
        </w:rPr>
      </w:r>
      <w:r>
        <w:t>Table 4: Proposed Reimbursement Conditions for the Drug Under Review</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5249"/>
        <w:gridCol w:w="5289"/>
      </w:tblGrid>
      <w:tr>
        <w:trPr>
          <w:tblHeader/>
          <w:cantSplit/>
        </w:trPr>
        <w:tc>
          <w:tcPr>
            <w:tcW w:w="5248"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ADTH"/>
              <w:rPr>
                <w:color w:val="auto"/>
              </w:rPr>
            </w:pPr>
            <w:r>
              <w:rPr>
                <w:color w:val="auto"/>
              </w:rPr>
              <w:t>Proposed reimbursement condition</w:t>
            </w:r>
          </w:p>
        </w:tc>
        <w:tc>
          <w:tcPr>
            <w:tcW w:w="5290"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enteredCADTH"/>
              <w:rPr>
                <w:color w:val="auto"/>
              </w:rPr>
            </w:pPr>
            <w:r>
              <w:rPr>
                <w:color w:val="auto"/>
              </w:rPr>
              <w:t>Reason</w:t>
            </w:r>
          </w:p>
        </w:tc>
      </w:tr>
      <w:tr>
        <w:trPr>
          <w:cantSplit/>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Initiation</w:t>
            </w:r>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initiation condition"/>
                <w:id w:val="115541822"/>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initiation rationale"/>
                <w:id w:val="1440032977"/>
              </w:sdtPr>
              <w:sdtContent>
                <w:r>
                  <w:rPr>
                    <w:rFonts w:ascii="Arial" w:hAnsi="Arial" w:cs="Arial"/>
                    <w:sz w:val="18"/>
                    <w:color w:val="000000"/>
                  </w:rPr>
                  <w:t xml:space="preserve">Not reported in CSR: reimbursement condition/rationale. (CSR pp. 37-39: trial criteria only.)</w:t>
                </w:r>
              </w:sdtContent>
            </w:sdt>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initiation alignment condition"/>
                <w:id w:val="1774983937"/>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initiation alignment rationale"/>
              <w:id w:val="1288836516"/>
            </w:sdtPr>
            <w:sdtContent>
              <w:p>
                <w:pPr>
                  <w:pStyle w:val="BodyCopyWorking"/>
                </w:pPr>
                <w:r>
                  <w:rPr>
                    <w:rFonts w:ascii="Arial" w:hAnsi="Arial" w:cs="Arial"/>
                    <w:sz w:val="18"/>
                    <w:color w:val="000000"/>
                  </w:rPr>
                  <w:t xml:space="preserve">Not reported in CSR: reimbursement condition/rationale. (CSR pp. 37-39: trial criteria only.)</w:t>
                </w:r>
              </w:p>
            </w:sdtContent>
          </w:sdt>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Cs/>
              </w:rPr>
            </w:pPr>
            <w:r>
              <w:rPr>
                <w:bCs/>
                <w:color w:val="C00000"/>
              </w:rPr>
              <w:t>Add or delete rows as needed</w:t>
            </w:r>
          </w:p>
          <w:p>
            <w:pPr>
              <w:keepNext w:val="0"/>
            </w:pPr>
            <w:sdt>
              <w:sdtPr>
                <w:alias w:val="Completed response — Not reported in CSR: reimbursement condition/rationale. (CSR pp. "/>
                <w:id w:val="1900000008"/>
              </w:sdtPr>
              <w:sdtContent>
                <w:r>
                  <w:rPr>
                    <w:rFonts w:ascii="Arial" w:hAnsi="Arial"/>
                    <w:color w:val="000000"/>
                    <w:sz w:val="18"/>
                  </w:rPr>
                  <w:t>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sdt>
              <w:sdtPr>
                <w:alias w:val="Completed response — Not reported in CSR: reimbursement condition/rationale. (CSR pp. "/>
                <w:id w:val="1900000009"/>
              </w:sdtPr>
              <w:sdtContent>
                <w:r>
                  <w:rPr>
                    <w:rFonts w:ascii="Arial" w:hAnsi="Arial"/>
                    <w:color w:val="000000"/>
                    <w:sz w:val="18"/>
                  </w:rPr>
                  <w:t>Not reported in CSR: reimbursement condition/rationale. (CSR pp. 37-39: trial criteria only.)</w:t>
                </w:r>
              </w:sdtContent>
            </w:sdt>
          </w:p>
        </w:tc>
      </w:tr>
      <w:tr>
        <w:trPr>
          <w:cantSplit/>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Renewal</w:t>
            </w:r>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renewal condition"/>
                <w:id w:val="198562177"/>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tabs>
                <w:tab w:val="clear" w:pos="720"/>
                <w:tab w:val="left" w:pos="1230" w:leader="none"/>
              </w:tabs>
              <w:rPr/>
            </w:pPr>
            <w:sdt>
              <w:sdtPr>
                <w:alias w:val="Reimbursement conditions — renewal rationale"/>
                <w:id w:val="1469981911"/>
              </w:sdtPr>
              <w:sdtContent>
                <w:r>
                  <w:rPr>
                    <w:rFonts w:ascii="Arial" w:hAnsi="Arial" w:cs="Arial"/>
                    <w:sz w:val="18"/>
                    <w:color w:val="000000"/>
                  </w:rPr>
                  <w:t xml:space="preserve">Not reported in CSR: reimbursement condition/rationale. (CSR pp. 37-39: trial criteria only.)</w:t>
                </w:r>
              </w:sdtContent>
            </w:sdt>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renewal alignment condition"/>
                <w:id w:val="593079894"/>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renewal alignment rationale"/>
              <w:id w:val="181289987"/>
            </w:sdtPr>
            <w:sdtContent>
              <w:p>
                <w:pPr>
                  <w:pStyle w:val="BodyCopyWorking"/>
                </w:pPr>
                <w:r>
                  <w:rPr>
                    <w:rFonts w:ascii="Arial" w:hAnsi="Arial" w:cs="Arial"/>
                    <w:sz w:val="18"/>
                    <w:color w:val="000000"/>
                  </w:rPr>
                  <w:t xml:space="preserve">Not reported in CSR: reimbursement condition/rationale. (CSR pp. 37-39: trial criteria only.)</w:t>
                </w:r>
              </w:p>
            </w:sdtContent>
          </w:sdt>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p>
            <w:pPr>
              <w:keepNext w:val="0"/>
            </w:pPr>
            <w:sdt>
              <w:sdtPr>
                <w:alias w:val="Completed response — Not reported in CSR: reimbursement condition/rationale. (CSR pp. "/>
                <w:id w:val="1900000010"/>
              </w:sdtPr>
              <w:sdtContent>
                <w:r>
                  <w:rPr>
                    <w:rFonts w:ascii="Arial" w:hAnsi="Arial"/>
                    <w:color w:val="000000"/>
                    <w:sz w:val="18"/>
                  </w:rPr>
                  <w:t>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sdt>
              <w:sdtPr>
                <w:alias w:val="Completed response — Not reported in CSR: reimbursement condition/rationale. (CSR pp. "/>
                <w:id w:val="1900000011"/>
              </w:sdtPr>
              <w:sdtContent>
                <w:r>
                  <w:rPr>
                    <w:rFonts w:ascii="Arial" w:hAnsi="Arial"/>
                    <w:color w:val="000000"/>
                    <w:sz w:val="18"/>
                  </w:rPr>
                  <w:t>Not reported in CSR: reimbursement condition/rationale. (CSR pp. 37-39: trial criteria only.)</w:t>
                </w:r>
              </w:sdtContent>
            </w:sdt>
          </w:p>
        </w:tc>
      </w:tr>
      <w:tr>
        <w:trPr>
          <w:cantSplit/>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Discontinuation</w:t>
            </w:r>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discontinuation condition"/>
                <w:id w:val="806644934"/>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discontinuation rationale"/>
                <w:id w:val="1088305840"/>
              </w:sdtPr>
              <w:sdtContent>
                <w:r>
                  <w:rPr>
                    <w:rFonts w:ascii="Arial" w:hAnsi="Arial" w:cs="Arial"/>
                    <w:sz w:val="18"/>
                    <w:color w:val="000000"/>
                  </w:rPr>
                  <w:t xml:space="preserve">Not reported in CSR: reimbursement condition/rationale. (CSR pp. 37-39: trial criteria only.)</w:t>
                </w:r>
              </w:sdtContent>
            </w:sdt>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p>
            <w:pPr>
              <w:keepNext w:val="0"/>
            </w:pPr>
            <w:sdt>
              <w:sdtPr>
                <w:alias w:val="Completed response — Not reported in CSR: reimbursement condition/rationale. (CSR pp. "/>
                <w:id w:val="1900000012"/>
              </w:sdtPr>
              <w:sdtContent>
                <w:r>
                  <w:rPr>
                    <w:rFonts w:ascii="Arial" w:hAnsi="Arial"/>
                    <w:color w:val="000000"/>
                    <w:sz w:val="18"/>
                  </w:rPr>
                  <w:t>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sdt>
              <w:sdtPr>
                <w:alias w:val="Completed response — Not reported in CSR: reimbursement condition/rationale. (CSR pp. "/>
                <w:id w:val="1900000013"/>
              </w:sdtPr>
              <w:sdtContent>
                <w:r>
                  <w:rPr>
                    <w:rFonts w:ascii="Arial" w:hAnsi="Arial"/>
                    <w:color w:val="000000"/>
                    <w:sz w:val="18"/>
                  </w:rPr>
                  <w:t>Not reported in CSR: reimbursement condition/rationale. (CSR pp. 37-39: trial criteria only.)</w:t>
                </w:r>
              </w:sdtContent>
            </w:sdt>
          </w:p>
        </w:tc>
      </w:tr>
      <w:tr>
        <w:trPr>
          <w:cantSplit/>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Prescribing</w:t>
            </w:r>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prescribing condition"/>
                <w:id w:val="1138168675"/>
              </w:sdtPr>
              <w:sdtContent>
                <w:r>
                  <w:rPr>
                    <w:rFonts w:ascii="Arial" w:hAnsi="Arial" w:cs="Arial"/>
                    <w:sz w:val="18"/>
                    <w:color w:val="000000"/>
                  </w:rPr>
                  <w:t xml:space="preserve">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prescribing rationale"/>
                <w:id w:val="1817405152"/>
              </w:sdtPr>
              <w:sdtContent>
                <w:r>
                  <w:rPr>
                    <w:rFonts w:ascii="Arial" w:hAnsi="Arial" w:cs="Arial"/>
                    <w:sz w:val="18"/>
                    <w:color w:val="000000"/>
                  </w:rPr>
                  <w:t xml:space="preserve">Not reported in CSR: reimbursement condition/rationale. (CSR pp. 37-39: trial criteria only.)</w:t>
                </w:r>
              </w:sdtContent>
            </w:sdt>
          </w:p>
        </w:tc>
      </w:tr>
      <w:tr>
        <w:trPr>
          <w:cantSplit/>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p>
            <w:pPr>
              <w:keepNext w:val="0"/>
            </w:pPr>
            <w:sdt>
              <w:sdtPr>
                <w:alias w:val="Completed response — Not reported in CSR: reimbursement condition/rationale. (CSR pp. "/>
                <w:id w:val="1900000014"/>
              </w:sdtPr>
              <w:sdtContent>
                <w:r>
                  <w:rPr>
                    <w:rFonts w:ascii="Arial" w:hAnsi="Arial"/>
                    <w:color w:val="000000"/>
                    <w:sz w:val="18"/>
                  </w:rPr>
                  <w:t>Not reported in CSR: reimbursement condition/rationale. (CSR pp. 37-39: trial criteria only.)</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sdt>
              <w:sdtPr>
                <w:alias w:val="Completed response — Not reported in CSR: reimbursement condition/rationale. (CSR pp. "/>
                <w:id w:val="1900000015"/>
              </w:sdtPr>
              <w:sdtContent>
                <w:r>
                  <w:rPr>
                    <w:rFonts w:ascii="Arial" w:hAnsi="Arial"/>
                    <w:color w:val="000000"/>
                    <w:sz w:val="18"/>
                  </w:rPr>
                  <w:t>Not reported in CSR: reimbursement condition/rationale. (CSR pp. 37-39: trial criteria only.)</w:t>
                </w:r>
              </w:sdtContent>
            </w:sdt>
          </w:p>
        </w:tc>
      </w:tr>
    </w:tbl>
    <w:p>
      <w:pPr>
        <w:pStyle w:val="TableFooterCADTH"/>
        <w:rPr/>
      </w:pPr>
      <w:sdt>
        <w:sdtPr>
          <w:alias w:val="Reimbursement conditions - Abbreviations"/>
          <w:id w:val="1985672964"/>
        </w:sdtPr>
        <w:sdtContent>
          <w:r>
            <w:rPr>
              <w:rFonts w:ascii="Arial" w:hAnsi="Arial" w:cs="Arial"/>
              <w:sz w:val="20"/>
              <w:color w:val="000000"/>
            </w:rPr>
            <w:t xml:space="preserve">AE = adverse event; CI = confidence interval; FAS = full analysis set; OR = odds ratio; SAE = serious adverse event. (CSR pp. 25-26, 58.)</w:t>
          </w:r>
        </w:sdtContent>
      </w:sdt>
    </w:p>
    <w:p>
      <w:pPr>
        <w:pStyle w:val="Normal"/>
        <w:rPr>
          <w:rFonts w:ascii="Arial" w:hAnsi="Arial" w:cs="Arial"/>
          <w:b/>
          <w:color w:val="505150"/>
          <w:sz w:val="32"/>
          <w:szCs w:val="32"/>
        </w:rPr>
      </w:pPr>
      <w:r>
        <w:rPr>
          <w:rFonts w:cs="Arial" w:ascii="Arial" w:hAnsi="Arial"/>
          <w:b/>
          <w:color w:val="505150"/>
          <w:sz w:val="32"/>
          <w:szCs w:val="32"/>
        </w:rPr>
      </w:r>
      <w:bookmarkStart w:id="44" w:name="_Toc13042110"/>
      <w:r>
        <w:br w:type="page"/>
      </w:r>
    </w:p>
    <w:p>
      <w:pPr>
        <w:pStyle w:val="SectionHeadingWorking"/>
        <w:spacing w:before="0" w:after="120"/>
        <w:rPr/>
      </w:pPr>
      <w:bookmarkStart w:id="45" w:name="_Toc216182101"/>
      <w:bookmarkStart w:id="46" w:name="__RefHeading___Toc6186_3477833118"/>
      <w:bookmarkEnd w:id="46"/>
      <w:r>
        <w:rPr/>
        <w:t>Section 2. Systematic Review</w:t>
      </w:r>
      <w:bookmarkEnd w:id="45"/>
      <w:r>
        <w:rPr/>
        <w:t xml:space="preserve"> </w:t>
      </w:r>
      <w:bookmarkEnd w:id="44"/>
    </w:p>
    <w:p>
      <w:pPr>
        <w:pStyle w:val="Headinglvl1Working"/>
        <w:rPr/>
      </w:pPr>
      <w:bookmarkStart w:id="47" w:name="_Toc216182102"/>
      <w:bookmarkStart w:id="48" w:name="_Toc309036290"/>
      <w:bookmarkStart w:id="49" w:name="_Toc436038446"/>
      <w:bookmarkStart w:id="50" w:name="_Toc93475833"/>
      <w:bookmarkStart w:id="51" w:name="__RefHeading___Toc6236_3477833118"/>
      <w:bookmarkEnd w:id="51"/>
      <w:r>
        <w:rPr/>
        <w:t>Objectives and Methods</w:t>
      </w:r>
      <w:bookmarkEnd w:id="47"/>
      <w:bookmarkEnd w:id="50"/>
    </w:p>
    <w:p>
      <w:pPr>
        <w:pStyle w:val="Normal"/>
        <w:spacing w:lineRule="auto" w:line="276"/>
        <w:rPr/>
      </w:pPr>
      <w:sdt>
        <w:sdtPr>
          <w:alias w:val="Systematic review — objective"/>
          <w:id w:val="344607807"/>
        </w:sdtPr>
        <w:sdtContent>
          <w:r>
            <w:rPr>
              <w:rFonts w:ascii="Arial" w:hAnsi="Arial" w:cs="Arial"/>
              <w:sz w:val="20"/>
              <w:color w:val="000000"/>
            </w:rPr>
            <w:t xml:space="preserve">No systematic review is reported in the CSR. The available clinical evidence summarized here is STEP 1, whose primary objective was comparison of weight change with semaglutide versus placebo, both with lifestyle intervention. (CSR pp. 1, 32-33.)</w:t>
          </w:r>
        </w:sdtContent>
      </w:sdt>
    </w:p>
    <w:p>
      <w:pPr>
        <w:pStyle w:val="Subheadinglvl1Working"/>
        <w:rPr/>
      </w:pPr>
      <w:r>
        <w:rPr/>
        <w:t>Review Protocol</w:t>
      </w:r>
    </w:p>
    <w:p>
      <w:pPr>
        <w:pStyle w:val="BodyCopyWorking"/>
        <w:keepNext w:val="0"/>
      </w:pPr>
      <w:sdt>
        <w:sdtPr>
          <w:alias w:val="Completed response — Not reported in the supplied CSR: no systematic-review methods or"/>
          <w:id w:val="1900000016"/>
        </w:sdtPr>
        <w:sdtContent>
          <w:r>
            <w:rPr>
              <w:rFonts w:ascii="Arial" w:hAnsi="Arial"/>
              <w:color w:val="000000"/>
              <w:sz w:val="20"/>
            </w:rPr>
            <w:t>Not reported in the supplied CSR: no systematic-review methods or results are provided. (CSR pp. 1, 32-36: single-trial scope.)</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bookmarkStart w:id="53" w:name="_Toc309036292"/>
    </w:p>
    <w:p>
      <w:pPr>
        <w:pStyle w:val="Normal"/>
        <w:spacing w:lineRule="auto" w:line="276" w:before="240" w:after="0"/>
        <w:rPr>
          <w:color w:val="000000"/>
        </w:rPr>
      </w:pPr>
      <w:r>
        <w:rPr>
          <w:rFonts w:cs="Arial" w:ascii="Arial" w:hAnsi="Arial"/>
          <w:b/>
          <w:bCs/>
          <w:color w:val="000000"/>
          <w:sz w:val="20"/>
          <w:szCs w:val="20"/>
        </w:rPr>
        <w:t>Population</w:t>
      </w:r>
    </w:p>
    <w:sdt>
      <w:sdtPr>
        <w:alias w:val="Review protocol PICO - Population"/>
        <w:id w:val="1711002088"/>
      </w:sdtPr>
      <w:sdtContent>
        <w:p>
          <w:pPr>
            <w:pStyle w:val="BodyCopyWorking"/>
          </w:pPr>
          <w:r>
            <w:rPr>
              <w:rFonts w:ascii="Arial" w:hAnsi="Arial" w:cs="Arial"/>
              <w:sz w:val="20"/>
              <w:color w:val="000000"/>
            </w:rPr>
            <w:t xml:space="preserve">Adults aged ≥18 years with BMI ≥30 kg/m², or ≥27 kg/m² with hypertension, dyslipidaemia, obstructive sleep apnoea or cardiovascular disease, and ≥1 unsuccessful dietary weight-loss effort; type 2 diabetes excluded. (CSR pp. 36-37.) Systematic-review population criteria and subgroups are not reported. (CSR pp. 32-37.)</w:t>
          </w:r>
        </w:p>
      </w:sdtContent>
    </w:sdt>
    <w:p>
      <w:pPr>
        <w:pStyle w:val="Normal"/>
        <w:spacing w:lineRule="auto" w:line="276" w:before="240" w:after="0"/>
        <w:rPr>
          <w:color w:val="000000"/>
        </w:rPr>
      </w:pPr>
      <w:r>
        <w:rPr>
          <w:rFonts w:cs="Arial" w:ascii="Arial" w:hAnsi="Arial"/>
          <w:b/>
          <w:bCs/>
          <w:color w:val="000000"/>
          <w:sz w:val="20"/>
          <w:szCs w:val="20"/>
        </w:rPr>
        <w:t>Intervention</w:t>
      </w:r>
    </w:p>
    <w:p>
      <w:pPr>
        <w:pStyle w:val="Normal"/>
        <w:spacing w:lineRule="auto" w:line="276"/>
        <w:rPr/>
      </w:pPr>
      <w:sdt>
        <w:sdtPr>
          <w:alias w:val="Review protocol PICO - Intervention"/>
          <w:id w:val="1669481612"/>
        </w:sdtPr>
        <w:sdtContent>
          <w:r>
            <w:rPr>
              <w:rFonts w:ascii="Arial" w:hAnsi="Arial" w:cs="Arial"/>
              <w:sz w:val="20"/>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w:t>
          </w:r>
        </w:sdtContent>
      </w:sdt>
    </w:p>
    <w:p>
      <w:pPr>
        <w:pStyle w:val="Normal"/>
        <w:spacing w:lineRule="auto" w:line="276" w:before="240" w:after="0"/>
        <w:rPr>
          <w:color w:val="000000"/>
        </w:rPr>
      </w:pPr>
      <w:r>
        <w:rPr>
          <w:rFonts w:cs="Arial" w:ascii="Arial" w:hAnsi="Arial"/>
          <w:b/>
          <w:bCs/>
          <w:color w:val="000000"/>
          <w:sz w:val="20"/>
          <w:szCs w:val="20"/>
        </w:rPr>
        <w:t>Comparator(s)</w:t>
      </w:r>
    </w:p>
    <w:sdt>
      <w:sdtPr>
        <w:alias w:val="Review protocol PICO - Comparator(s)"/>
        <w:id w:val="1768930"/>
      </w:sdtPr>
      <w:sdtContent>
        <w:p>
          <w:pPr>
            <w:pStyle w:val="BodyCopyWorking"/>
          </w:pPr>
          <w:r>
            <w:rPr>
              <w:rFonts w:ascii="Arial" w:hAnsi="Arial" w:cs="Arial"/>
              <w:sz w:val="20"/>
              <w:color w:val="000000"/>
            </w:rPr>
            <w:t xml:space="preserve">Matching placebo plus lifestyle intervention. Systematic-review comparator criteria are not reported. (CSR pp. 37, 39-41.)</w:t>
          </w:r>
        </w:p>
      </w:sdtContent>
    </w:sdt>
    <w:p>
      <w:pPr>
        <w:pStyle w:val="Normal"/>
        <w:spacing w:lineRule="auto" w:line="276" w:before="240" w:after="0"/>
        <w:rPr>
          <w:color w:val="000000"/>
        </w:rPr>
      </w:pPr>
      <w:r>
        <w:rPr>
          <w:rFonts w:cs="Arial" w:ascii="Arial" w:hAnsi="Arial"/>
          <w:b/>
          <w:bCs/>
          <w:color w:val="000000"/>
          <w:sz w:val="20"/>
          <w:szCs w:val="20"/>
        </w:rPr>
        <w:t>Outcomes</w:t>
      </w:r>
    </w:p>
    <w:sdt>
      <w:sdtPr>
        <w:alias w:val="Review protocol PICO - Outcomes"/>
        <w:id w:val="350684775"/>
      </w:sdtPr>
      <w:sdtContent>
        <w:p>
          <w:pPr>
            <w:pStyle w:val="BodyCopyWorking"/>
          </w:pPr>
          <w:r>
            <w:rPr>
              <w:rFonts w:ascii="Arial" w:hAnsi="Arial" w:cs="Arial"/>
              <w:sz w:val="20"/>
              <w:color w:val="000000"/>
            </w:rPr>
            <w:t xml:space="preserve">Co-primary: percentage change in body weight and ≥5% weight loss at week 68. Confirmatory secondary: ≥10% and ≥15% weight loss; changes in waist circumference, systolic blood pressure, SF-36 physical functioning and IWQOL-Lite-CT physical function at week 68. All eight endpoints were in the multiplicity-controlled hierarchy. (CSR pp. 59-61, 87, Tables 9-8 and 11-1.)</w:t>
          </w:r>
        </w:p>
      </w:sdtContent>
    </w:sdt>
    <w:p>
      <w:pPr>
        <w:pStyle w:val="Normal"/>
        <w:spacing w:lineRule="auto" w:line="276" w:before="240" w:after="0"/>
        <w:rPr>
          <w:color w:val="000000"/>
        </w:rPr>
      </w:pPr>
      <w:r>
        <w:rPr>
          <w:rFonts w:cs="Arial" w:ascii="Arial" w:hAnsi="Arial"/>
          <w:b/>
          <w:bCs/>
          <w:color w:val="000000"/>
          <w:sz w:val="20"/>
          <w:szCs w:val="20"/>
        </w:rPr>
        <w:t>Study design</w:t>
      </w:r>
    </w:p>
    <w:p>
      <w:pPr>
        <w:pStyle w:val="Normal"/>
        <w:spacing w:lineRule="auto" w:line="276"/>
        <w:rPr/>
      </w:pPr>
      <w:sdt>
        <w:sdtPr>
          <w:alias w:val="Review protocol PICO - Study design"/>
          <w:id w:val="909017236"/>
        </w:sdtPr>
        <w:sdtContent>
          <w:r>
            <w:rPr>
              <w:rFonts w:ascii="Arial" w:hAnsi="Arial" w:cs="Arial"/>
              <w:sz w:val="20"/>
              <w:color w:val="000000"/>
            </w:rPr>
            <w:t xml:space="preserve">STEP 1 (NN9536-4373; NCT03548935) was a phase 3a, multicentre, multinational, randomized, double-blind, placebo-controlled trial; 1,961 participants were randomized 2:1 (semaglutide 1,306; placebo 655). It included 68 weeks of treatment and 7 weeks of safety follow-up. (CSR pp. 2, 35, 65-66.)</w:t>
          </w:r>
        </w:sdtContent>
      </w:sdt>
    </w:p>
    <w:p>
      <w:pPr>
        <w:pStyle w:val="TableTitleCADTH"/>
        <w:spacing w:lineRule="auto" w:line="360" w:before="240" w:after="0"/>
        <w:rPr>
          <w:rFonts w:cs="Arial"/>
          <w:color w:themeColor="text1" w:themeTint="f2" w:val="0D0D0D"/>
          <w:sz w:val="20"/>
          <w:szCs w:val="20"/>
        </w:rPr>
      </w:pPr>
      <w:bookmarkStart w:id="54" w:name="_Ref62455152"/>
      <w:bookmarkStart w:id="55" w:name="_Toc62474840"/>
      <w:r>
        <w:rPr>
          <w:rFonts w:cs="Arial"/>
          <w:color w:themeColor="text1" w:themeTint="f2" w:val="0D0D0D"/>
          <w:sz w:val="20"/>
          <w:szCs w:val="20"/>
        </w:rPr>
        <w:t>Table</w:t>
      </w:r>
      <w:r>
        <w:rPr/>
        <w:t xml:space="preserve"> </w:t>
      </w:r>
      <w:bookmarkEnd w:id="54"/>
      <w:sdt>
        <w:sdtPr>
          <w:alias w:val="Inclusion criteria table — number"/>
          <w:id w:val="390680609"/>
        </w:sdtPr>
        <w:sdtContent>
          <w:r>
            <w:rPr>
              <w:rFonts w:ascii="Arial" w:hAnsi="Arial" w:cs="Arial"/>
              <w:sz w:val="20"/>
              <w:color w:val="000000"/>
            </w:rPr>
            <w:t xml:space="preserve">5</w:t>
          </w:r>
        </w:sdtContent>
      </w:sdt>
      <w:r>
        <w:rPr>
          <w:rFonts w:cs="Arial"/>
          <w:color w:themeColor="text1" w:themeTint="f2" w:val="0D0D0D"/>
          <w:sz w:val="20"/>
          <w:szCs w:val="20"/>
        </w:rPr>
        <w:t>: Inclusion criteria for the systematic review</w:t>
      </w:r>
      <w:bookmarkEnd w:id="55"/>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6"/>
        <w:gridCol w:w="8762"/>
      </w:tblGrid>
      <w:tr>
        <w:trPr>
          <w:tblHeader/>
          <w:cantSplit/>
        </w:trPr>
        <w:tc>
          <w:tcPr>
            <w:tcW w:w="177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pPr>
            <w:r>
              <w:rPr>
                <w:color w:themeColor="text1" w:themeTint="f2" w:val="0D0D0D"/>
              </w:rPr>
              <w:t>Criteria</w:t>
            </w:r>
          </w:p>
        </w:tc>
        <w:tc>
          <w:tcPr>
            <w:tcW w:w="87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pPr>
            <w:r>
              <w:rPr>
                <w:color w:themeColor="text1" w:themeTint="f2" w:val="0D0D0D"/>
              </w:rPr>
              <w:t>Description</w:t>
            </w:r>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Population</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population"/>
                <w:id w:val="1880349076"/>
              </w:sdtPr>
              <w:sdtContent>
                <w:r>
                  <w:rPr>
                    <w:rFonts w:ascii="Arial" w:hAnsi="Arial"/>
                    <w:sz w:val="18"/>
                    <w:color w:val="000000"/>
                  </w:rPr>
                  <w:t xml:space="preserve">Male or female, age ≥18 years at informed consent; BMI ≥30.0 kg/m², or ≥27.0 kg/m² with at least one treated or untreated weight-related comorbidity (hypertension, dyslipidaemia, obstructive sleep apnoea or cardiovascular disease); and at least one self-reported unsuccessful dietary effort to lose weight. (CSR p. 37.) The CSR describes STEP 1 eligibility, but does not provide systematic-review selection criteria. (CSR pp. 32, 36-37.)</w:t>
                </w:r>
              </w:sdtContent>
            </w:sdt>
          </w:p>
          <w:p>
            <w:pPr>
              <w:pStyle w:val="TableBodyCopyCADTH"/>
              <w:rPr>
                <w:color w:val="D70711"/>
              </w:rPr>
            </w:pPr>
            <w:r>
              <w:rPr>
                <w:color w:val="D70711"/>
              </w:rPr>
            </w:r>
          </w:p>
          <w:p>
            <w:pPr>
              <w:pStyle w:val="TableBodyCopyCADTH"/>
              <w:rPr>
                <w:b/>
                <w:bCs/>
                <w:color w:val="000000"/>
              </w:rPr>
            </w:pPr>
            <w:r>
              <w:rPr>
                <w:b/>
                <w:bCs/>
                <w:color w:val="000000"/>
              </w:rPr>
              <w:t>Subgroups:</w:t>
            </w:r>
          </w:p>
          <w:p>
            <w:pPr>
              <w:pStyle w:val="TableBodyCopyCADTH"/>
              <w:rPr/>
            </w:pPr>
            <w:sdt>
              <w:sdtPr>
                <w:alias w:val="Inclusion criteria — relevant subgroups"/>
                <w:id w:val="2015476795"/>
              </w:sdtPr>
              <w:sdtContent>
                <w:r>
                  <w:rPr>
                    <w:rFonts w:ascii="Arial" w:hAnsi="Arial"/>
                    <w:sz w:val="18"/>
                    <w:color w:val="000000"/>
                  </w:rPr>
                  <w:t xml:space="preserve">The prespecified DEXA sub-population required BMI ≤40.0 kg/m² at screening and an acceptable-quality baseline scan confirmed by the imaging laboratory before randomization. It comprised 140 participants (95 semaglutide; 45 placebo). Systematic-review subgroup selection criteria are not reported. (CSR pp. 32, 35, 38, 58, 72.)</w:t>
                </w:r>
              </w:sdtContent>
            </w:sdt>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Intervention</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intervention"/>
                <w:id w:val="732486507"/>
              </w:sdtPr>
              <w:sdtContent>
                <w:r>
                  <w:rPr>
                    <w:rFonts w:ascii="Arial" w:hAnsi="Arial" w:cs="Arial"/>
                    <w:sz w:val="18"/>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w:t>
                </w:r>
              </w:sdtContent>
            </w:sdt>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Comparator</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comparators"/>
                <w:id w:val="724565510"/>
              </w:sdtPr>
              <w:sdtContent>
                <w:r>
                  <w:rPr>
                    <w:rFonts w:ascii="Arial" w:hAnsi="Arial" w:cs="Arial"/>
                    <w:sz w:val="18"/>
                    <w:color w:val="000000"/>
                  </w:rPr>
                  <w:t xml:space="preserve">Matching placebo plus lifestyle intervention. Systematic-review comparator criteria are not reported. (CSR pp. 37, 39-41.)</w:t>
                </w:r>
              </w:sdtContent>
            </w:sdt>
          </w:p>
          <w:p>
            <w:pPr>
              <w:pStyle w:val="TableBodyCopyCADTH"/>
              <w:rPr>
                <w:color w:val="D70711"/>
              </w:rPr>
            </w:pPr>
            <w:r>
              <w:rPr>
                <w:color w:val="D70711"/>
              </w:rPr>
            </w:r>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Outcomes</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color w:val="000000"/>
              </w:rPr>
            </w:pPr>
            <w:r>
              <w:rPr>
                <w:b/>
                <w:color w:val="000000"/>
              </w:rPr>
              <w:t>Efficacy outcomes:</w:t>
            </w:r>
          </w:p>
          <w:sdt>
            <w:sdtPr>
              <w:alias w:val="Inclusion criteria — efficacy outcomes"/>
              <w:id w:val="701037126"/>
            </w:sdtPr>
            <w:sdtContent>
              <w:p>
                <w:pPr>
                  <w:pStyle w:val="BodyCopyWorking"/>
                </w:pPr>
                <w:r>
                  <w:rPr>
                    <w:rFonts w:ascii="Arial" w:hAnsi="Arial" w:cs="Arial"/>
                    <w:sz w:val="18"/>
                    <w:color w:val="000000"/>
                  </w:rPr>
                  <w:t xml:space="preserve">Co-primary: percentage change in body weight and ≥5% weight loss at week 68. Confirmatory secondary: ≥10% and ≥15% weight loss; changes in waist circumference, systolic blood pressure, SF-36 physical functioning and IWQOL-Lite-CT physical function at week 68. All eight endpoints were in the multiplicity-controlled hierarchy. (CSR pp. 59-61, 87, Tables 9-8 and 11-1.)</w:t>
                </w:r>
              </w:p>
            </w:sdtContent>
          </w:sdt>
          <w:p>
            <w:pPr>
              <w:pStyle w:val="TableBodyCopyCADTH"/>
              <w:rPr>
                <w:color w:val="000000"/>
              </w:rPr>
            </w:pPr>
            <w:r>
              <w:rPr>
                <w:b/>
                <w:color w:val="000000"/>
              </w:rPr>
              <w:t>Harms outcomes:</w:t>
            </w:r>
          </w:p>
          <w:p>
            <w:pPr>
              <w:pStyle w:val="TableBodyCopyCADTH"/>
              <w:rPr/>
            </w:pPr>
            <w:sdt>
              <w:sdtPr>
                <w:alias w:val="Inclusion criteria — harms outcomes"/>
                <w:id w:val="473002630"/>
              </w:sdtPr>
              <w:sdtContent>
                <w:r>
                  <w:rPr>
                    <w:rFonts w:ascii="Arial" w:hAnsi="Arial" w:cs="Arial"/>
                    <w:sz w:val="18"/>
                    <w:color w:val="000000"/>
                  </w:rPr>
                  <w:t xml:space="preserve">AEs, SAEs, fatal events, discontinuations, and safety focus areas. (CSR pp. 61, 128-129.)</w:t>
                </w:r>
              </w:sdtContent>
            </w:sdt>
          </w:p>
        </w:tc>
      </w:tr>
      <w:tr>
        <w:trPr>
          <w:cantSplit/>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Study Designs</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study designs"/>
                <w:id w:val="890642733"/>
              </w:sdtPr>
              <w:sdtContent>
                <w:r>
                  <w:rPr>
                    <w:rFonts w:ascii="Arial" w:hAnsi="Arial" w:cs="Arial"/>
                    <w:sz w:val="18"/>
                    <w:color w:val="000000"/>
                  </w:rPr>
                  <w:t xml:space="preserve">STEP 1 (NN9536-4373; NCT03548935) was a phase 3a, multicentre, multinational, randomized, double-blind, placebo-controlled trial; 1,961 participants were randomized 2:1 (semaglutide 1,306; placebo 655). It included 68 weeks of treatment and 7 weeks of safety follow-up. (CSR pp. 2, 35, 65-66.) Systematic-review design eligibility not reported. (CSR pp. 32-36.)</w:t>
                </w:r>
              </w:sdtContent>
            </w:sdt>
          </w:p>
        </w:tc>
      </w:tr>
    </w:tbl>
    <w:p>
      <w:pPr>
        <w:pStyle w:val="TableFooterCADTH"/>
        <w:rPr/>
      </w:pPr>
      <w:sdt>
        <w:sdtPr>
          <w:alias w:val="PICO table - Abbreviations"/>
          <w:id w:val="486984095"/>
        </w:sdtPr>
        <w:sdtContent>
          <w:r>
            <w:rPr>
              <w:rFonts w:ascii="Arial" w:hAnsi="Arial" w:cs="Arial"/>
              <w:sz w:val="20"/>
              <w:color w:val="000000"/>
            </w:rPr>
            <w:t xml:space="preserve">AE = adverse event; CI = confidence interval; FAS = full analysis set; OR = odds ratio; SAE = serious adverse event. (CSR pp. 25-26, 58.)</w:t>
          </w:r>
        </w:sdtContent>
      </w:sdt>
    </w:p>
    <w:p>
      <w:pPr>
        <w:pStyle w:val="Headinglvl1Working"/>
        <w:rPr/>
      </w:pPr>
      <w:bookmarkStart w:id="60" w:name="_Toc216182103"/>
      <w:bookmarkStart w:id="61" w:name="__RefHeading___Toc6234_3477833118"/>
      <w:bookmarkEnd w:id="61"/>
      <w:r>
        <w:rPr/>
        <w:t>Literature Search and Study Selection</w:t>
      </w:r>
      <w:bookmarkEnd w:id="60"/>
    </w:p>
    <w:p>
      <w:pPr>
        <w:pStyle w:val="Subheadinglvl1Working"/>
        <w:rPr/>
      </w:pPr>
      <w:r>
        <w:rPr/>
        <w:t>Literature Search Methodology</w:t>
      </w:r>
    </w:p>
    <w:sdt>
      <w:sdtPr>
        <w:alias w:val="Literature search methodology"/>
        <w:id w:val="1663243863"/>
      </w:sdtPr>
      <w:sdtContent>
        <w:p>
          <w:pPr>
            <w:pStyle w:val="Normal"/>
            <w:spacing w:lineRule="auto" w:line="276"/>
            <w:rPr>
              <w:rFonts w:ascii="Arial" w:hAnsi="Arial" w:cs="Arial"/>
              <w:color w:val="C00000"/>
              <w:sz w:val="20"/>
              <w:szCs w:val="20"/>
            </w:rPr>
          </w:pPr>
          <w:bookmarkStart w:id="62" w:name="_Toc436038448"/>
          <w:r>
            <w:rPr>
              <w:rFonts w:cs="Arial" w:ascii="Arial" w:hAnsi="Arial"/>
              <w:color w:val="C00000"/>
              <w:sz w:val="20"/>
              <w:szCs w:val="20"/>
              <w:rFonts w:ascii="Arial" w:hAnsi="Arial"/>
            </w:rPr>
            <w:t/>
          </w:r>
          <w:r>
            <w:rPr>
              <w:rFonts w:ascii="Arial" w:hAnsi="Arial"/>
            </w:rPr>
            <w:t>Systematic-review information not reported in supplied CSR. (CSR pp. 1, 32-36.)</w:t>
          </w:r>
        </w:p>
        <w:p>
          <w:pPr>
            <w:pStyle w:val="Normal"/>
            <w:numPr>
              <w:numId w:val="0"/>
            </w:numPr>
            <w:spacing w:before="0" w:after="0" w:line="1" w:lineRule="exact"/>
          </w:pPr>
          <w:r>
            <w:rPr>
              <w:rFonts w:cs="Arial" w:ascii="Arial" w:hAnsi="Arial"/>
              <w:color w:val="C00000"/>
              <w:sz w:val="20"/>
              <w:szCs w:val="20"/>
            </w:rPr>
            <w:t/>
          </w:r>
          <w:hyperlink r:id="rId14">
            <w:r>
              <w:rPr>
                <w:rStyle w:val="Style"/>
                <w:rFonts w:cs="Arial" w:ascii="Arial" w:hAnsi="Arial"/>
                <w:color w:val="C00000"/>
              </w:rPr>
              <w:t/>
            </w:r>
          </w:hyperlink>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hyperlink r:id="rId15">
            <w:r>
              <w:rPr>
                <w:rStyle w:val="Style"/>
                <w:rFonts w:cs="Arial" w:ascii="Arial" w:hAnsi="Arial"/>
                <w:color w:val="C00000"/>
              </w:rPr>
              <w:t/>
            </w:r>
          </w:hyperlink>
          <w:r>
            <w:rPr>
              <w:rFonts w:cs="Arial" w:ascii="Arial" w:hAnsi="Arial"/>
              <w:color w:val="C00000"/>
              <w:sz w:val="20"/>
              <w:szCs w:val="20"/>
            </w:rPr>
            <w:t xml:space="preserve"/>
          </w:r>
        </w:p>
        <w:p>
          <w:pPr>
            <w:pStyle w:val="Normal"/>
            <w:spacing w:lineRule="auto" w:line="360"/>
            <w:ind w:end="190"/>
            <w:rPr>
              <w:rFonts w:ascii="Arial" w:hAnsi="Arial" w:cs="Arial"/>
              <w:b/>
              <w:color w:val="C00000"/>
              <w:sz w:val="20"/>
              <w:szCs w:val="20"/>
              <w:lang w:val="en-US"/>
            </w:rPr>
          </w:pPr>
          <w:r>
            <w:rPr>
              <w:rFonts w:cs="Arial" w:ascii="Arial" w:hAnsi="Arial"/>
              <w:b/>
              <w:color w:val="C00000"/>
              <w:sz w:val="20"/>
              <w:szCs w:val="20"/>
              <w:lang w:val="en-US"/>
              <w:rFonts w:ascii="Arial" w:hAnsi="Arial"/>
            </w:rPr>
            <w:t>Searching bibliographic databases</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Style w:val="normaltextrun"/>
              <w:rFonts w:eastAsia="" w:cs="Arial" w:ascii="Arial" w:hAnsi="Arial" w:eastAsiaTheme="majorEastAsia"/>
              <w:color w:val="C00000"/>
              <w:sz w:val="20"/>
              <w:szCs w:val="20"/>
            </w:rPr>
            <w:t/>
          </w:r>
          <w:r>
            <w:rPr>
              <w:rStyle w:val="eop"/>
              <w:rFonts w:eastAsia="" w:cs="Arial" w:ascii="Arial" w:hAnsi="Arial" w:eastAsiaTheme="majorEastAsia"/>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hyperlink r:id="rId16">
            <w:r>
              <w:rPr>
                <w:rStyle w:val="Style"/>
                <w:rFonts w:cs="Arial" w:ascii="Arial" w:hAnsi="Arial"/>
                <w:color w:val="0000FF"/>
                <w:sz w:val="20"/>
                <w:szCs w:val="20"/>
                <w:u w:val="single"/>
              </w:rPr>
              <w:t/>
            </w:r>
          </w:hyperlink>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hyperlink r:id="rId17">
            <w:r>
              <w:rPr>
                <w:rStyle w:val="Style"/>
                <w:rFonts w:cs="Arial" w:ascii="Arial" w:hAnsi="Arial"/>
                <w:color w:val="C00000"/>
                <w:sz w:val="20"/>
                <w:szCs w:val="20"/>
              </w:rPr>
              <w:t/>
            </w:r>
          </w:hyperlink>
          <w:r>
            <w:rPr>
              <w:rFonts w:cs="Arial" w:ascii="Arial" w:hAnsi="Arial"/>
              <w:color w:val="C00000"/>
              <w:sz w:val="20"/>
              <w:szCs w:val="20"/>
            </w:rPr>
            <w:t/>
          </w:r>
        </w:p>
        <w:p>
          <w:pPr>
            <w:pStyle w:val="Normal"/>
            <w:numPr>
              <w:numId w:val="0"/>
            </w:numPr>
            <w:spacing w:before="0" w:after="0" w:line="1" w:lineRule="exact"/>
          </w:pPr>
          <w:r>
            <w:rPr>
              <w:rStyle w:val="normaltextrun"/>
              <w:rFonts w:eastAsia="" w:cs="Arial" w:ascii="Arial" w:hAnsi="Arial" w:eastAsiaTheme="majorEastAsia"/>
              <w:color w:val="C00000"/>
              <w:sz w:val="20"/>
              <w:szCs w:val="20"/>
            </w:rPr>
            <w:t xml:space="preserve"/>
          </w:r>
          <w:hyperlink r:id="rId18" w:tgtFrame="_blank">
            <w:r>
              <w:rPr>
                <w:rStyle w:val="Style"/>
                <w:rFonts w:eastAsia="" w:cs="Arial" w:ascii="Arial" w:hAnsi="Arial" w:eastAsiaTheme="majorEastAsia"/>
                <w:i/>
                <w:iCs/>
                <w:color w:val="0000FF"/>
                <w:sz w:val="20"/>
                <w:szCs w:val="20"/>
                <w:u w:val="single"/>
              </w:rPr>
              <w:t/>
            </w:r>
          </w:hyperlink>
          <w:r>
            <w:rPr>
              <w:rStyle w:val="eop"/>
              <w:rFonts w:eastAsia="" w:cs="Arial" w:ascii="Arial" w:hAnsi="Arial" w:eastAsiaTheme="majorEastAsia"/>
              <w:color w:val="C00000"/>
              <w:sz w:val="20"/>
              <w:szCs w:val="20"/>
            </w:rPr>
            <w:t/>
          </w:r>
        </w:p>
        <w:p>
          <w:pPr>
            <w:pStyle w:val="paragraph"/>
            <w:spacing w:lineRule="auto" w:line="360" w:beforeAutospacing="0" w:before="120" w:afterAutospacing="0" w:after="0"/>
            <w:textAlignment w:val="baseline"/>
            <w:rPr>
              <w:rStyle w:val="normaltextrun"/>
              <w:rFonts w:ascii="Arial" w:hAnsi="Arial" w:eastAsia="" w:cs="Arial" w:eastAsiaTheme="majorEastAsia"/>
              <w:b/>
              <w:color w:val="C00000"/>
              <w:sz w:val="20"/>
              <w:szCs w:val="20"/>
            </w:rPr>
          </w:pPr>
          <w:r>
            <w:rPr>
              <w:rStyle w:val="normaltextrun"/>
              <w:rFonts w:eastAsia="" w:cs="Arial" w:ascii="Arial" w:hAnsi="Arial" w:eastAsiaTheme="majorEastAsia"/>
              <w:b/>
              <w:color w:val="C00000"/>
              <w:sz w:val="20"/>
              <w:szCs w:val="20"/>
              <w:rFonts w:ascii="Arial" w:hAnsi="Arial"/>
            </w:rPr>
            <w:t>Searching clinical trial registries</w:t>
          </w:r>
        </w:p>
        <w:p>
          <w:pPr>
            <w:pStyle w:val="Normal"/>
            <w:numPr>
              <w:numId w:val="0"/>
            </w:numPr>
            <w:spacing w:before="0" w:after="0" w:line="1" w:lineRule="exact"/>
          </w:pPr>
          <w:r>
            <w:rPr>
              <w:rStyle w:val="normaltextrun"/>
              <w:rFonts w:eastAsia="" w:cs="Arial" w:ascii="Arial" w:hAnsi="Arial" w:eastAsiaTheme="majorEastAsia"/>
              <w:color w:val="C00000"/>
              <w:sz w:val="20"/>
              <w:szCs w:val="20"/>
            </w:rPr>
            <w:t xml:space="preserve"/>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w:r>
        </w:p>
        <w:p>
          <w:pPr>
            <w:pStyle w:val="Normal"/>
            <w:numPr>
              <w:numId w:val="0"/>
            </w:numPr>
            <w:spacing w:before="0" w:after="0" w:line="1" w:lineRule="exact"/>
          </w:pPr>
          <w:r>
            <w:rPr>
              <w:rFonts w:cs="Arial" w:ascii="Arial" w:hAnsi="Arial"/>
              <w:color w:val="C00000"/>
              <w:sz w:val="20"/>
              <w:szCs w:val="20"/>
            </w:rPr>
            <w:t xml:space="preserve"/>
          </w:r>
        </w:p>
        <w:p>
          <w:pPr>
            <w:pStyle w:val="Normal"/>
            <w:numPr>
              <w:numId w:val="0"/>
            </w:numPr>
            <w:spacing w:before="0" w:after="0" w:line="1" w:lineRule="exact"/>
          </w:pPr>
          <w:r>
            <w:rPr>
              <w:rFonts w:cs="Arial" w:ascii="Arial" w:hAnsi="Arial"/>
              <w:color w:val="C00000"/>
              <w:sz w:val="20"/>
              <w:szCs w:val="20"/>
            </w:rPr>
            <w:t/>
          </w:r>
        </w:p>
        <w:p>
          <w:pPr>
            <w:pStyle w:val="paragraph"/>
            <w:spacing w:lineRule="auto" w:line="360" w:beforeAutospacing="0" w:before="120" w:afterAutospacing="0" w:after="0"/>
            <w:textAlignment w:val="baseline"/>
            <w:rPr>
              <w:rStyle w:val="normaltextrun"/>
              <w:rFonts w:ascii="Arial" w:hAnsi="Arial" w:eastAsia="" w:cs="Arial" w:eastAsiaTheme="majorEastAsia"/>
              <w:b/>
              <w:color w:val="C00000"/>
              <w:sz w:val="20"/>
              <w:szCs w:val="20"/>
            </w:rPr>
          </w:pPr>
          <w:r>
            <w:rPr>
              <w:rStyle w:val="normaltextrun"/>
              <w:rFonts w:eastAsia="" w:cs="Arial" w:ascii="Arial" w:hAnsi="Arial" w:eastAsiaTheme="majorEastAsia"/>
              <w:b/>
              <w:color w:val="C00000"/>
              <w:sz w:val="20"/>
              <w:szCs w:val="20"/>
              <w:rFonts w:ascii="Arial" w:hAnsi="Arial"/>
            </w:rPr>
            <w:t>Reporting of the literature search</w:t>
          </w:r>
        </w:p>
        <w:p>
          <w:pPr>
            <w:pStyle w:val="Normal"/>
            <w:numPr>
              <w:numId w:val="0"/>
            </w:numPr>
            <w:spacing w:before="0" w:after="0" w:line="1" w:lineRule="exact"/>
          </w:pPr>
          <w:r>
            <w:rPr>
              <w:rStyle w:val="normaltextrun"/>
              <w:color w:val="C00000"/>
              <w:sz w:val="20"/>
              <w:szCs w:val="20"/>
            </w:rPr>
            <w:t xml:space="preserve"/>
          </w:r>
          <w:r>
            <w:rPr>
              <w:rStyle w:val="normaltextrun"/>
              <w:rFonts w:eastAsia="" w:eastAsiaTheme="majorEastAsia"/>
              <w:color w:val="C00000"/>
              <w:sz w:val="20"/>
              <w:szCs w:val="20"/>
            </w:rPr>
            <w:t xml:space="preserve"/>
          </w:r>
          <w:r>
            <w:rPr>
              <w:rStyle w:val="normaltextrun"/>
              <w:color w:val="C00000"/>
              <w:sz w:val="20"/>
              <w:szCs w:val="20"/>
            </w:rPr>
            <w:t/>
          </w:r>
          <w:r>
            <w:rPr>
              <w:rStyle w:val="eop"/>
              <w:rFonts w:eastAsia="" w:eastAsiaTheme="majorEastAsia"/>
              <w:color w:val="C00000"/>
              <w:sz w:val="20"/>
              <w:szCs w:val="20"/>
            </w:rPr>
            <w:t xml:space="preserve"/>
          </w:r>
          <w:r>
            <w:rPr>
              <w:rStyle w:val="normaltextrun"/>
              <w:color w:val="C00000"/>
              <w:sz w:val="20"/>
              <w:szCs w:val="20"/>
            </w:rPr>
            <w:t/>
          </w:r>
          <w:r>
            <w:rPr>
              <w:rStyle w:val="normaltextrun"/>
              <w:sz w:val="20"/>
              <w:szCs w:val="20"/>
            </w:rPr>
            <w:t xml:space="preserve"/>
          </w:r>
          <w:hyperlink r:id="rId19">
            <w:r>
              <w:rPr>
                <w:rStyle w:val="Style"/>
                <w:i/>
                <w:iCs/>
                <w:color w:val="0000FF"/>
                <w:sz w:val="20"/>
                <w:szCs w:val="20"/>
                <w:u w:val="single"/>
              </w:rPr>
              <w:t/>
            </w:r>
          </w:hyperlink>
          <w:r>
            <w:rPr>
              <w:sz w:val="20"/>
              <w:szCs w:val="20"/>
            </w:rPr>
            <w:t/>
          </w:r>
          <w:r>
            <w:rPr>
              <w:rStyle w:val="eop"/>
              <w:sz w:val="20"/>
              <w:szCs w:val="20"/>
            </w:rPr>
            <w:t/>
          </w:r>
        </w:p>
        <w:p>
          <w:pPr>
            <w:pStyle w:val="paragraph"/>
            <w:spacing w:lineRule="auto" w:line="360" w:beforeAutospacing="0" w:before="0" w:afterAutospacing="0" w:after="0"/>
            <w:textAlignment w:val="baseline"/>
            <w:rPr>
              <w:rFonts w:ascii="Segoe UI" w:hAnsi="Segoe UI" w:cs="Segoe UI"/>
              <w:sz w:val="20"/>
              <w:szCs w:val="20"/>
            </w:rPr>
          </w:pPr>
          <w:r>
            <w:rPr>
              <w:rStyle w:val="normaltextrun"/>
              <w:rFonts w:eastAsia="" w:cs="Arial" w:ascii="Arial" w:hAnsi="Arial" w:eastAsiaTheme="majorEastAsia"/>
              <w:b/>
              <w:color w:val="C00000"/>
              <w:sz w:val="20"/>
              <w:szCs w:val="20"/>
              <w:rFonts w:ascii="Arial" w:hAnsi="Arial"/>
            </w:rPr>
            <w:t>Example of Reporting Clinical Literature Search Methods</w:t>
          </w:r>
        </w:p>
        <w:p>
          <w:pPr>
            <w:pStyle w:val="paragraph"/>
            <w:spacing w:lineRule="auto" w:line="276" w:beforeAutospacing="0" w:before="0" w:afterAutospacing="0" w:after="0"/>
            <w:textAlignment w:val="baseline"/>
            <w:rPr>
              <w:rFonts w:ascii="Arial" w:hAnsi="Arial" w:cs="Arial"/>
              <w:sz w:val="20"/>
              <w:szCs w:val="20"/>
            </w:rPr>
          </w:pPr>
          <w:r>
            <w:rPr>
              <w:rStyle w:val="normaltextrun"/>
              <w:rFonts w:eastAsia="" w:cs="Arial" w:ascii="Arial" w:hAnsi="Arial" w:eastAsiaTheme="majorEastAsia"/>
              <w:sz w:val="20"/>
              <w:szCs w:val="20"/>
              <w:rFonts w:ascii="Arial" w:hAnsi="Arial"/>
            </w:rPr>
            <w:t xml:space="preserve"/>
          </w:r>
          <w:hyperlink r:id="rId20" w:tgtFrame="_blank">
            <w:r>
              <w:rPr>
                <w:rStyle w:val="Style"/>
                <w:rFonts w:eastAsia="" w:cs="Arial" w:ascii="Arial" w:hAnsi="Arial" w:eastAsiaTheme="majorEastAsia"/>
                <w:i/>
                <w:iCs/>
                <w:color w:val="0000FF"/>
                <w:sz w:val="20"/>
                <w:szCs w:val="20"/>
                <w:u w:val="single"/>
              </w:rPr>
              <w:t/>
            </w:r>
          </w:hyperlink>
          <w:r>
            <w:rPr>
              <w:rStyle w:val="normaltextrun"/>
              <w:rFonts w:eastAsia="" w:cs="Arial" w:ascii="Arial" w:hAnsi="Arial" w:eastAsiaTheme="majorEastAsia"/>
              <w:sz w:val="20"/>
              <w:szCs w:val="20"/>
              <w:rFonts w:ascii="Arial" w:hAnsi="Arial"/>
            </w:rPr>
            <w:t/>
          </w:r>
          <w:r>
            <w:rPr>
              <w:rStyle w:val="normaltextrun"/>
              <w:rFonts w:eastAsia="" w:cs="Arial" w:ascii="Arial" w:hAnsi="Arial" w:eastAsiaTheme="majorEastAsia"/>
              <w:color w:val="FF0000"/>
              <w:sz w:val="20"/>
              <w:szCs w:val="20"/>
              <w:rFonts w:ascii="Arial" w:hAnsi="Arial"/>
            </w:rPr>
            <w:t xml:space="preserve"/>
          </w:r>
          <w:sdt>
            <w:sdtPr>
              <w:alias w:val="Literature search methods — intervention"/>
              <w:id w:val="2028612821"/>
            </w:sdtPr>
            <w:sdtContent>
              <w:r>
                <w:rPr>
                  <w:rFonts w:ascii="Arial" w:hAnsi="Arial" w:cs="Arial"/>
                  <w:sz w:val="20"/>
                  <w:color w:val="000000"/>
                </w:rPr>
                <w:t xml:space="preserve">Intervention search: not reported. (CSR pp. 1, 32-36.) </w:t>
              </w:r>
            </w:sdtContent>
          </w:sdt>
          <w:r>
            <w:rPr>
              <w:rFonts w:ascii="Arial" w:hAnsi="Arial"/>
            </w:rPr>
            <w:t/>
          </w:r>
          <w:r>
            <w:rPr>
              <w:rStyle w:val="normaltextrun"/>
              <w:rFonts w:eastAsia="" w:cs="Arial" w:ascii="Arial" w:hAnsi="Arial" w:eastAsiaTheme="majorEastAsia"/>
              <w:sz w:val="20"/>
              <w:szCs w:val="20"/>
              <w:rFonts w:ascii="Arial" w:hAnsi="Arial"/>
            </w:rPr>
            <w:t/>
          </w:r>
          <w:r>
            <w:rPr>
              <w:rFonts w:ascii="Arial" w:hAnsi="Arial"/>
            </w:rPr>
            <w:t xml:space="preserve"/>
          </w:r>
          <w:sdt>
            <w:sdtPr>
              <w:alias w:val="Literature search methods — indication or population"/>
              <w:id w:val="1154094977"/>
            </w:sdtPr>
            <w:sdtContent>
              <w:r>
                <w:rPr>
                  <w:rFonts w:ascii="Arial" w:hAnsi="Arial" w:cs="Arial"/>
                  <w:sz w:val="20"/>
                  <w:color w:val="000000"/>
                </w:rPr>
                <w:t xml:space="preserve"> Population search: not reported. (CSR pp. 1, 32-36.)</w:t>
              </w:r>
            </w:sdtContent>
          </w:sdt>
          <w:r>
            <w:rPr>
              <w:rStyle w:val="normaltextrun"/>
              <w:rFonts w:eastAsia="" w:cs="Arial" w:ascii="Arial" w:hAnsi="Arial" w:eastAsiaTheme="majorEastAsia"/>
              <w:sz w:val="20"/>
              <w:szCs w:val="20"/>
              <w:rFonts w:ascii="Arial" w:hAnsi="Arial"/>
            </w:rPr>
            <w:t/>
          </w:r>
          <w:r>
            <w:rPr>
              <w:rStyle w:val="eop"/>
              <w:rFonts w:eastAsia="" w:cs="Arial" w:ascii="Arial" w:hAnsi="Arial" w:eastAsiaTheme="majorEastAsia"/>
              <w:sz w:val="20"/>
              <w:szCs w:val="20"/>
              <w:rFonts w:ascii="Arial" w:hAnsi="Arial"/>
            </w:rPr>
            <w:t/>
          </w:r>
        </w:p>
        <w:p>
          <w:pPr>
            <w:pStyle w:val="Normal"/>
            <w:numPr>
              <w:numId w:val="0"/>
            </w:numPr>
            <w:spacing w:before="0" w:after="0" w:line="1" w:lineRule="exact"/>
          </w:pPr>
          <w:r>
            <w:rPr>
              <w:rStyle w:val="eop"/>
              <w:rFonts w:eastAsia="" w:cs="Arial" w:ascii="Arial" w:hAnsi="Arial" w:eastAsiaTheme="majorEastAsia"/>
              <w:sz w:val="20"/>
              <w:szCs w:val="20"/>
            </w:rPr>
            <w:t/>
          </w:r>
        </w:p>
        <w:p>
          <w:pPr>
            <w:pStyle w:val="Normal"/>
            <w:spacing w:lineRule="auto" w:line="276"/>
            <w:rPr>
              <w:rStyle w:val="eop"/>
              <w:rFonts w:ascii="Arial" w:hAnsi="Arial" w:cs="Arial"/>
              <w:sz w:val="20"/>
              <w:szCs w:val="20"/>
            </w:rPr>
          </w:pPr>
          <w:r>
            <w:rPr>
              <w:rFonts w:cs="Arial" w:ascii="Arial" w:hAnsi="Arial"/>
              <w:sz w:val="20"/>
              <w:szCs w:val="20"/>
              <w:rFonts w:ascii="Arial" w:hAnsi="Arial"/>
            </w:rPr>
            <w:t/>
          </w:r>
          <w:r>
            <w:rPr>
              <w:rStyle w:val="normaltextrun"/>
              <w:rFonts w:eastAsia="" w:cs="Arial" w:ascii="Arial" w:hAnsi="Arial" w:eastAsiaTheme="majorEastAsia"/>
              <w:sz w:val="20"/>
              <w:szCs w:val="20"/>
              <w:rFonts w:ascii="Arial" w:hAnsi="Arial"/>
            </w:rPr>
            <w:t/>
          </w:r>
          <w:sdt>
            <w:sdtPr>
              <w:alias w:val="Literature search methods — initial search date"/>
              <w:id w:val="364360071"/>
            </w:sdtPr>
            <w:sdtContent>
              <w:r>
                <w:rPr>
                  <w:rFonts w:ascii="Arial" w:hAnsi="Arial" w:cs="Arial"/>
                  <w:sz w:val="20"/>
                  <w:color w:val="000000"/>
                </w:rPr>
                <w:t xml:space="preserve">Systematic-review information not reported in supplied CSR. (CSR pp. 1, 32-36.)</w:t>
              </w:r>
            </w:sdtContent>
          </w:sdt>
          <w:r>
            <w:rPr>
              <w:rStyle w:val="normaltextrun"/>
              <w:rFonts w:eastAsia="" w:cs="Arial" w:ascii="Arial" w:hAnsi="Arial" w:eastAsiaTheme="majorEastAsia"/>
              <w:sz w:val="20"/>
              <w:szCs w:val="20"/>
              <w:rFonts w:ascii="Arial" w:hAnsi="Arial"/>
            </w:rPr>
            <w:t/>
          </w:r>
        </w:p>
        <w:p>
          <w:pPr>
            <w:pStyle w:val="Normal"/>
            <w:numPr>
              <w:numId w:val="0"/>
            </w:numPr>
            <w:spacing w:before="0" w:after="0" w:line="1" w:lineRule="exact"/>
          </w:pPr>
          <w:r>
            <w:rPr>
              <w:rFonts w:cs="Arial" w:ascii="Arial" w:hAnsi="Arial"/>
              <w:sz w:val="18"/>
              <w:szCs w:val="18"/>
            </w:rPr>
          </w:r>
        </w:p>
        <w:p>
          <w:pPr>
            <w:pStyle w:val="Subheadinglvl1Working"/>
            <w:rPr/>
          </w:pPr>
          <w:r>
            <w:rPr>
              <w:rFonts w:ascii="Arial" w:hAnsi="Arial"/>
            </w:rPr>
            <w:t>Study Selection</w:t>
          </w:r>
        </w:p>
        <w:p>
          <w:pPr>
            <w:pStyle w:val="Normal"/>
            <w:rPr>
              <w:rFonts w:ascii="Arial" w:hAnsi="Arial" w:cs="Arial"/>
              <w:b/>
              <w:bCs/>
              <w:sz w:val="20"/>
              <w:szCs w:val="20"/>
            </w:rPr>
          </w:pPr>
          <w:r>
            <w:rPr>
              <w:rFonts w:cs="Arial" w:ascii="Arial" w:hAnsi="Arial"/>
              <w:b/>
              <w:bCs/>
              <w:sz w:val="20"/>
              <w:szCs w:val="20"/>
              <w:rFonts w:ascii="Arial" w:hAnsi="Arial"/>
            </w:rPr>
            <w:t xml:space="preserve">Figure </w:t>
          </w:r>
          <w:sdt>
            <w:sdtPr>
              <w:alias w:val="PRISMA flow diagram — figure number"/>
              <w:id w:val="1775098485"/>
            </w:sdtPr>
            <w:sdtContent>
              <w:r>
                <w:rPr>
                  <w:rFonts w:ascii="Arial" w:hAnsi="Arial" w:cs="Arial"/>
                  <w:sz w:val="20"/>
                  <w:color w:val="000000"/>
                </w:rPr>
                <w:t xml:space="preserve">Not reported</w:t>
              </w:r>
            </w:sdtContent>
          </w:sdt>
          <w:r>
            <w:rPr>
              <w:rFonts w:cs="Arial" w:ascii="Arial" w:hAnsi="Arial"/>
              <w:b/>
              <w:bCs/>
              <w:sz w:val="20"/>
              <w:szCs w:val="20"/>
              <w:rFonts w:ascii="Arial" w:hAnsi="Arial"/>
            </w:rPr>
            <w:t>: PRISMA Flow Diagram</w:t>
          </w:r>
        </w:p>
        <w:p>
          <w:pPr>
            <w:pStyle w:val="Normal"/>
            <w:numPr>
              <w:numId w:val="0"/>
            </w:numPr>
            <w:spacing w:before="0" w:after="0" w:line="1" w:lineRule="exact"/>
          </w:pPr>
          <w:r>
            <w:rPr>
              <w:rFonts w:cs="Arial" w:ascii="Arial" w:hAnsi="Arial"/>
              <w:color w:val="C00000"/>
              <w:sz w:val="20"/>
              <w:szCs w:val="20"/>
            </w:rPr>
            <w:t xml:space="preserve"/>
          </w:r>
          <w:hyperlink r:id="rId21">
            <w:r>
              <w:rPr>
                <w:rStyle w:val="Hyperlink"/>
                <w:rFonts w:cs="Arial" w:ascii="Arial" w:hAnsi="Arial"/>
                <w:sz w:val="20"/>
                <w:szCs w:val="20"/>
              </w:rPr>
              <w:t/>
            </w:r>
          </w:hyperlink>
          <w:r>
            <w:rPr>
              <w:rFonts w:cs="Arial" w:ascii="Arial" w:hAnsi="Arial"/>
              <w:sz w:val="20"/>
              <w:szCs w:val="20"/>
            </w:rPr>
            <w:t xml:space="preserve"/>
          </w:r>
          <w:bookmarkEnd w:id="62"/>
        </w:p>
        <w:p>
          <w:pPr>
            <w:pStyle w:val="Normal"/>
            <w:rPr/>
          </w:pPr>
          <w:sdt>
            <w:sdtPr>
              <w:alias w:val="Study selection — PRISMA flow diagram"/>
              <w:id w:val="1281811044"/>
              <w:picture/>
            </w:sdtPr>
            <w:sdtContent>
              <w:r>
                <w:rPr>
                  <w:rFonts w:ascii="Arial" w:hAnsi="Arial" w:cs="Arial"/>
                  <w:sz w:val="20"/>
                  <w:color w:val="000000"/>
                </w:rPr>
                <w:t xml:space="preserve">Systematic-review information not reported in supplied CSR. (CSR pp. 1, 32-36.)</w:t>
              </w:r>
            </w:sdtContent>
          </w:sdt>
        </w:p>
        <w:p>
          <w:pPr>
            <w:pStyle w:val="Headinglvl1Working"/>
            <w:rPr/>
          </w:pPr>
          <w:bookmarkStart w:id="63" w:name="_Toc216182104"/>
          <w:bookmarkStart w:id="64" w:name="__RefHeading___Toc6232_3477833118"/>
          <w:bookmarkEnd w:id="64"/>
          <w:r>
            <w:rPr>
              <w:rFonts w:ascii="Arial" w:hAnsi="Arial"/>
            </w:rPr>
            <w:t>Included Studies</w:t>
          </w:r>
          <w:bookmarkEnd w:id="63"/>
          <w:r>
            <w:rPr>
              <w:rFonts w:ascii="Arial" w:hAnsi="Arial"/>
            </w:rPr>
            <w:t xml:space="preserve"> </w:t>
          </w:r>
        </w:p>
        <w:p>
          <w:pPr>
            <w:pStyle w:val="TableTitleCADTH"/>
            <w:spacing w:lineRule="auto" w:line="360" w:before="240" w:after="0"/>
            <w:rPr>
              <w:rFonts w:cs="Arial"/>
              <w:color w:themeColor="text1" w:themeTint="f2" w:val="0D0D0D"/>
              <w:sz w:val="20"/>
              <w:szCs w:val="20"/>
            </w:rPr>
          </w:pPr>
          <w:bookmarkStart w:id="65" w:name="_Ref343069397"/>
          <w:bookmarkStart w:id="66" w:name="_Ref435109766"/>
          <w:bookmarkStart w:id="67" w:name="_Ref499891147"/>
          <w:bookmarkStart w:id="68" w:name="_Toc13042125"/>
          <w:bookmarkStart w:id="69" w:name="_Toc436038479"/>
          <w:r>
            <w:rPr>
              <w:rFonts w:cs="Arial"/>
              <w:color w:themeColor="text1" w:themeTint="f2" w:val="0D0D0D"/>
              <w:sz w:val="20"/>
              <w:szCs w:val="20"/>
              <w:rFonts w:ascii="Arial" w:hAnsi="Arial"/>
            </w:rPr>
            <w:t>Table</w:t>
          </w:r>
          <w:bookmarkEnd w:id="65"/>
          <w:bookmarkEnd w:id="67"/>
          <w:r>
            <w:rPr>
              <w:rFonts w:cs="Arial"/>
              <w:color w:themeColor="text1" w:themeTint="f2" w:val="0D0D0D"/>
              <w:sz w:val="20"/>
              <w:szCs w:val="20"/>
              <w:rFonts w:ascii="Arial" w:hAnsi="Arial"/>
            </w:rPr>
            <w:t xml:space="preserve"> </w:t>
          </w:r>
          <w:sdt>
            <w:sdtPr>
              <w:alias w:val="Included studies table — number"/>
              <w:id w:val="1712953180"/>
            </w:sdtPr>
            <w:sdtContent>
              <w:r>
                <w:rPr>
                  <w:rFonts w:ascii="Arial" w:hAnsi="Arial" w:cs="Arial"/>
                  <w:sz w:val="20"/>
                  <w:color w:val="000000"/>
                </w:rPr>
                <w:t xml:space="preserve">6</w:t>
              </w:r>
            </w:sdtContent>
          </w:sdt>
          <w:r>
            <w:rPr>
              <w:rFonts w:cs="Arial"/>
              <w:color w:themeColor="text1" w:themeTint="f2" w:val="0D0D0D"/>
              <w:sz w:val="20"/>
              <w:szCs w:val="20"/>
              <w:rFonts w:ascii="Arial" w:hAnsi="Arial"/>
            </w:rPr>
            <w:t>: Details of Included Studies</w:t>
          </w:r>
          <w:bookmarkEnd w:id="66"/>
          <w:bookmarkEnd w:id="68"/>
          <w:bookmarkEnd w:id="69"/>
        </w:p>
      </w:sdtContent>
    </w:sdt>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191"/>
        <w:gridCol w:w="4015"/>
        <w:gridCol w:w="4015"/>
      </w:tblGrid>
      <w:tr>
        <w:trPr>
          <w:tblHeader/>
          <w:trHeight w:val="20" w:hRule="atLeast"/>
          <w:cantSplit/>
        </w:trPr>
        <w:tc>
          <w:tcPr>
            <w:tcW w:w="219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r>
          </w:p>
          <w:p>
            <w:pPr>
              <w:keepNext w:val="0"/>
            </w:pPr>
            <w:r>
              <w:rPr>
                <w:rFonts w:ascii="Arial" w:hAnsi="Arial"/>
                <w:color w:val="000000"/>
                <w:sz w:val="18"/>
              </w:rPr>
              <w:t>Study identifier</w:t>
            </w:r>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pPr>
            <w:sdt>
              <w:sdtPr>
                <w:alias w:val="Included studies — Study 1 name"/>
                <w:id w:val="917274444"/>
              </w:sdtPr>
              <w:sdtContent>
                <w:r>
                  <w:rPr>
                    <w:rFonts w:ascii="Arial" w:hAnsi="Arial" w:cs="Arial"/>
                    <w:sz w:val="18"/>
                    <w:color w:val="000000"/>
                  </w:rPr>
                  <w:t xml:space="preserve">STEP 1 / NN9536-4373. (CSR p. 2.)</w:t>
                </w:r>
              </w:sdtContent>
            </w:sdt>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pPr>
            <w:sdt>
              <w:sdtPr>
                <w:alias w:val="Included studies — Study 2 name"/>
                <w:id w:val="197412906"/>
              </w:sdtPr>
              <w:sdtContent>
                <w:r>
                  <w:rPr>
                    <w:rFonts w:ascii="Arial" w:hAnsi="Arial" w:cs="Arial"/>
                    <w:sz w:val="18"/>
                    <w:color w:val="000000"/>
                  </w:rPr>
                  <w:t xml:space="preserve">Second study not reported. (CSR pp. 1, 32.)</w:t>
                </w:r>
              </w:sdtContent>
            </w:sdt>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Designs &amp; Populations</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Study Design</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design"/>
                <w:id w:val="1930116000"/>
              </w:sdtPr>
              <w:sdtContent>
                <w:r>
                  <w:rPr>
                    <w:rFonts w:ascii="Arial" w:hAnsi="Arial" w:cs="Arial"/>
                    <w:sz w:val="18"/>
                    <w:color w:val="000000"/>
                  </w:rPr>
                  <w:t xml:space="preserve">STEP 1 (NN9536-4373; NCT03548935) was a phase 3a, multicentre, multinational, randomized, double-blind, placebo-controlled trial; 1,961 participants were randomized 2:1 (semaglutide 1,306; placebo 655). It included 68 weeks of treatment and 7 weeks of safety follow-up. (CSR pp. 2, 35, 65-66.)</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design"/>
                <w:id w:val="1565938690"/>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Locations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locations"/>
                <w:id w:val="1676867584"/>
              </w:sdtPr>
              <w:sdtContent>
                <w:r>
                  <w:rPr>
                    <w:rFonts w:ascii="Arial" w:hAnsi="Arial"/>
                    <w:sz w:val="18"/>
                    <w:color w:val="000000"/>
                  </w:rPr>
                  <w:t xml:space="preserve">129 sites in 16 countries: Argentina 5, Belgium 5, Bulgaria 5, Canada 7, Denmark 1, Finland 2, France 7, Germany 13, India 13, Japan 5, Mexico 3, Poland 4, Russian Federation 8, Taiwan 1, UK 10, US 40. All sites screened and randomized participants. (CSR p. 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locations"/>
                <w:id w:val="908712584"/>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Patient Enrolment Dates: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color w:themeColor="text1" w:val="000000"/>
              </w:rPr>
            </w:pPr>
            <w:r>
              <w:rPr>
                <w:b/>
                <w:bCs/>
                <w:color w:themeColor="text1" w:val="000000"/>
              </w:rPr>
              <w:t xml:space="preserve">Start date: </w:t>
            </w:r>
            <w:sdt>
              <w:sdtPr>
                <w:alias w:val="Included studies — Study 1 enrolment start date"/>
                <w:id w:val="1994652249"/>
              </w:sdtPr>
              <w:sdtContent>
                <w:r>
                  <w:rPr>
                    <w:rFonts w:ascii="Arial" w:hAnsi="Arial" w:cs="Arial"/>
                    <w:sz w:val="18"/>
                    <w:color w:val="000000"/>
                  </w:rPr>
                  <w:t xml:space="preserve">4 June 2018 (trial initiated). (CSR p. 2.)</w:t>
                </w:r>
              </w:sdtContent>
            </w:sdt>
          </w:p>
          <w:p>
            <w:pPr>
              <w:pStyle w:val="TableBodyCopyCADTH"/>
              <w:rPr>
                <w:color w:val="C00000"/>
              </w:rPr>
            </w:pPr>
            <w:r>
              <w:rPr>
                <w:b/>
                <w:bCs/>
                <w:color w:themeColor="text1" w:val="000000"/>
              </w:rPr>
              <w:t xml:space="preserve">End date: </w:t>
            </w:r>
            <w:sdt>
              <w:sdtPr>
                <w:alias w:val="Included studies — Study 1 enrolment end date"/>
                <w:id w:val="933644844"/>
              </w:sdtPr>
              <w:sdtContent>
                <w:r>
                  <w:rPr>
                    <w:rFonts w:ascii="Arial" w:hAnsi="Arial" w:cs="Arial"/>
                    <w:sz w:val="18"/>
                    <w:color w:val="000000"/>
                  </w:rPr>
                  <w:t xml:space="preserve">Last enrollment date not reported. (CSR p. 2: trial dates.)</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color w:themeColor="text1" w:val="000000"/>
              </w:rPr>
            </w:pPr>
            <w:r>
              <w:rPr>
                <w:b/>
                <w:bCs/>
                <w:color w:themeColor="text1" w:val="000000"/>
              </w:rPr>
              <w:t xml:space="preserve">Start date: </w:t>
            </w:r>
            <w:sdt>
              <w:sdtPr>
                <w:alias w:val="Included studies — Study 2 enrolment start date"/>
                <w:id w:val="756660477"/>
              </w:sdtPr>
              <w:sdtContent>
                <w:r>
                  <w:rPr>
                    <w:rFonts w:ascii="Arial" w:hAnsi="Arial" w:cs="Arial"/>
                    <w:sz w:val="18"/>
                    <w:color w:val="000000"/>
                  </w:rPr>
                  <w:t xml:space="preserve">Second study not reported. (CSR pp. 1, 32.)</w:t>
                </w:r>
              </w:sdtContent>
            </w:sdt>
          </w:p>
          <w:p>
            <w:pPr>
              <w:pStyle w:val="TableBodyCopyCADTH"/>
              <w:rPr/>
            </w:pPr>
            <w:r>
              <w:rPr>
                <w:b/>
                <w:bCs/>
                <w:color w:themeColor="text1" w:val="000000"/>
              </w:rPr>
              <w:t xml:space="preserve">End date: </w:t>
            </w:r>
            <w:sdt>
              <w:sdtPr>
                <w:alias w:val="Included studies — Study 2 enrolment end date"/>
                <w:id w:val="1664939013"/>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w:t>
            </w:r>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Included studies — Study 1 randomized enrolment"/>
                <w:id w:val="1838953778"/>
              </w:sdtPr>
              <w:sdtContent>
                <w:r>
                  <w:rPr>
                    <w:rFonts w:ascii="Arial" w:hAnsi="Arial"/>
                    <w:sz w:val="18"/>
                    <w:color w:val="000000"/>
                  </w:rPr>
                  <w:t xml:space="preserve">Total randomized N = 1,961: semaglutide 2.4 mg N = 1,306; placebo N = 655 (2:1 allocation). All randomized participants received trial product. (CSR pp. 35, 65.)</w:t>
                </w:r>
              </w:sdtContent>
            </w:sdt>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Included studies — Study 2 randomized enrolment"/>
                <w:id w:val="757931386"/>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inclusion criteria"/>
                <w:id w:val="1875361923"/>
              </w:sdtPr>
              <w:sdtContent>
                <w:r>
                  <w:rPr>
                    <w:rFonts w:ascii="Arial" w:hAnsi="Arial"/>
                    <w:sz w:val="18"/>
                    <w:color w:val="000000"/>
                  </w:rPr>
                  <w:t xml:space="preserve">Male or female, age ≥18 years at informed consent; BMI ≥30.0 kg/m², or ≥27.0 kg/m² with at least one treated or untreated weight-related comorbidity (hypertension, dyslipidaemia, obstructive sleep apnoea or cardiovascular disease); and at least one self-reported unsuccessful dietary effort to lose weight. (CSR p. 37.)</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inclusion criteria"/>
                <w:id w:val="1464404542"/>
              </w:sdtPr>
              <w:sdtContent>
                <w:r>
                  <w:rPr>
                    <w:rFonts w:ascii="Arial" w:hAnsi="Arial" w:cs="Arial"/>
                    <w:sz w:val="18"/>
                    <w:color w:val="000000"/>
                  </w:rPr>
                  <w:t xml:space="preserve">Second study not reported. (CSR pp. 1, 32.)</w:t>
                </w:r>
              </w:sdtContent>
            </w:sdt>
          </w:p>
          <w:p>
            <w:pPr>
              <w:pStyle w:val="TableBodyCopyCADTH"/>
              <w:rPr/>
            </w:pPr>
            <w:r>
              <w:rPr/>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Exclusion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exclusion criteria"/>
                <w:id w:val="1338957035"/>
              </w:sdtPr>
              <w:sdtContent>
                <w:r>
                  <w:rPr>
                    <w:rFonts w:ascii="Arial" w:hAnsi="Arial"/>
                    <w:sz w:val="18"/>
                    <w:color w:val="000000"/>
                  </w:rPr>
                  <w:t xml:space="preserve">Key exclusions were HbA1c ≥48 mmol/mol (6.5%) at screening and self-reported body-weight change &gt;5 kg within the previous 90 days; type 2 diabetes was excluded. (CSR pp. 36-37.) Other documented screen-failure criteria included uncontrolled thyroid disease, PHQ-9 score ≥15 and a lifetime suicide attempt. Randomization additionally required a food diary with at most 2 missed days, PHQ-9 &lt;15, no suicidal behaviour, and no type 4 or 5 C-SSRS suicidal ideation between screening and randomization. (CSR pp. 38, 68.)</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exclusion criteria"/>
                <w:id w:val="1008430582"/>
              </w:sdtPr>
              <w:sdtContent>
                <w:r>
                  <w:rPr>
                    <w:rFonts w:ascii="Arial" w:hAnsi="Arial" w:cs="Arial"/>
                    <w:sz w:val="18"/>
                    <w:color w:val="000000"/>
                  </w:rPr>
                  <w:t xml:space="preserve">Second study not reported. (CSR pp. 1, 32.)</w:t>
                </w:r>
              </w:sdtContent>
            </w:sdt>
          </w:p>
          <w:p>
            <w:pPr>
              <w:pStyle w:val="TableBodyCopyCADTH"/>
              <w:rPr/>
            </w:pPr>
            <w:r>
              <w:rPr/>
            </w:r>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Drugs</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Intervention</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intervention regimen"/>
                <w:id w:val="2066905324"/>
              </w:sdtPr>
              <w:sdtContent>
                <w:r>
                  <w:rPr>
                    <w:rFonts w:ascii="Arial" w:hAnsi="Arial" w:cs="Arial"/>
                    <w:sz w:val="18"/>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 Both groups received counselling every 4 weeks for a 500 kcal/day deficit and ≥150 minutes/week of physical activity, with daily food/activity records. (CSR p. 41.)</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intervention regimen"/>
                <w:id w:val="1616047389"/>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Comparator(s)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comparators"/>
                <w:id w:val="1885629606"/>
              </w:sdtPr>
              <w:sdtContent>
                <w:r>
                  <w:rPr>
                    <w:rFonts w:ascii="Arial" w:hAnsi="Arial"/>
                    <w:sz w:val="18"/>
                    <w:color w:val="000000"/>
                  </w:rPr>
                  <w:t xml:space="preserve">Matching placebo by subcutaneous injection once weekly for 68 weeks, with injection volumes matching the fixed 16-week semaglutide escalation and maintenance regimen; both arms received counselling every 4 weeks for a 500 kcal/day energy deficit and ≥150 minutes/week of physical activity. Placebo and active product had identical appearance. (CSR pp. 35, 39-42.)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comparators"/>
                <w:id w:val="1684065809"/>
              </w:sdtPr>
              <w:sdtContent>
                <w:r>
                  <w:rPr>
                    <w:rFonts w:ascii="Arial" w:hAnsi="Arial" w:cs="Arial"/>
                    <w:sz w:val="18"/>
                    <w:color w:val="000000"/>
                  </w:rPr>
                  <w:t xml:space="preserve">Second study not reported. (CSR pp. 1, 32.)</w:t>
                </w:r>
              </w:sdtContent>
            </w:sdt>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Study duration</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Screening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screening duration"/>
                <w:id w:val="290423608"/>
              </w:sdtPr>
              <w:sdtContent>
                <w:r>
                  <w:rPr>
                    <w:rFonts w:ascii="Arial" w:hAnsi="Arial" w:cs="Arial"/>
                    <w:sz w:val="18"/>
                    <w:color w:val="000000"/>
                  </w:rPr>
                  <w:t xml:space="preserve">1 week (week −1 to week 0). (CSR p. 35, Figure 9-1.)</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screening duration"/>
                <w:id w:val="442195305"/>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Run-in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run-in duration"/>
                <w:id w:val="1567489723"/>
              </w:sdtPr>
              <w:sdtContent>
                <w:r>
                  <w:rPr>
                    <w:rFonts w:ascii="Arial" w:hAnsi="Arial" w:cs="Arial"/>
                    <w:sz w:val="18"/>
                    <w:color w:val="000000"/>
                  </w:rPr>
                  <w:t xml:space="preserve">No separate run-in phase described. (CSR pp. 35-39.)</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run-in duration"/>
                <w:id w:val="547609463"/>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Treatment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treatment duration"/>
                <w:id w:val="1581181457"/>
              </w:sdtPr>
              <w:sdtContent>
                <w:r>
                  <w:rPr>
                    <w:rFonts w:ascii="Arial" w:hAnsi="Arial" w:cs="Arial"/>
                    <w:sz w:val="18"/>
                    <w:color w:val="000000"/>
                  </w:rPr>
                  <w:t xml:space="preserve">68 weeks: 16-week escalation + 52-week maintenance. (CSR p. 35.)</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treatment duration"/>
                <w:id w:val="1637983798"/>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Follow-up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follow-up duration"/>
                <w:id w:val="1316176492"/>
              </w:sdtPr>
              <w:sdtContent>
                <w:r>
                  <w:rPr>
                    <w:rFonts w:ascii="Arial" w:hAnsi="Arial" w:cs="Arial"/>
                    <w:sz w:val="18"/>
                    <w:color w:val="000000"/>
                  </w:rPr>
                  <w:t xml:space="preserve">7 weeks off treatment; extension planned separately. (CSR pp. 35-36.)</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follow-up duration"/>
                <w:id w:val="155452583"/>
              </w:sdtPr>
              <w:sdtContent>
                <w:r>
                  <w:rPr>
                    <w:rFonts w:ascii="Arial" w:hAnsi="Arial" w:cs="Arial"/>
                    <w:sz w:val="18"/>
                    <w:color w:val="000000"/>
                  </w:rPr>
                  <w:t xml:space="preserve">Second study not reported. (CSR pp. 1, 32.)</w:t>
                </w:r>
              </w:sdtContent>
            </w:sdt>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Outcomes</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Primary End Point</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primary endpoint"/>
                <w:id w:val="1244553497"/>
              </w:sdtPr>
              <w:sdtContent>
                <w:r>
                  <w:rPr>
                    <w:rFonts w:ascii="Arial" w:hAnsi="Arial" w:cs="Arial"/>
                    <w:sz w:val="18"/>
                    <w:color w:val="000000"/>
                  </w:rPr>
                  <w:t xml:space="preserve">Percentage body-weight change and ≥5% weight loss at week 68. (CSR pp. 59, 87.)</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primary endpoint"/>
                <w:id w:val="625389978"/>
              </w:sdtPr>
              <w:sdtContent>
                <w:r>
                  <w:rPr>
                    <w:rFonts w:ascii="Arial" w:hAnsi="Arial" w:cs="Arial"/>
                    <w:sz w:val="18"/>
                    <w:color w:val="000000"/>
                  </w:rPr>
                  <w:t xml:space="preserve">Second study not reported. (CSR pp. 1, 32.)</w:t>
                </w:r>
              </w:sdtContent>
            </w:sdt>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Secondary and Exploratory End Points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TableBodyCopyCADTH"/>
              <w:rPr/>
            </w:pPr>
            <w:sdt>
              <w:sdtPr>
                <w:alias w:val="Included studies — Study 1 secondary endpoints"/>
                <w:id w:val="826306291"/>
              </w:sdtPr>
              <w:sdtContent>
                <w:r>
                  <w:rPr>
                    <w:rFonts w:ascii="Arial" w:hAnsi="Arial" w:cs="Arial"/>
                    <w:sz w:val="18"/>
                    <w:color w:val="000000"/>
                  </w:rPr>
                  <w:t xml:space="preserve">Confirmatory: ≥10%/≥15% weight loss, waist, systolic BP, SF-36 physical functioning and IWQOL-Lite-CT physical function at week 68. Supportive: other weight, metabolic, PRO and safety endpoints. (CSR pp. 59-61.)</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TableBodyCopyCADTH"/>
              <w:rPr/>
            </w:pPr>
            <w:sdt>
              <w:sdtPr>
                <w:alias w:val="Included studies — Study 1 exploratory endpoints"/>
                <w:id w:val="1215263892"/>
              </w:sdtPr>
              <w:sdtContent>
                <w:r>
                  <w:rPr>
                    <w:rFonts w:ascii="Arial" w:hAnsi="Arial" w:cs="Arial"/>
                    <w:sz w:val="18"/>
                    <w:color w:val="000000"/>
                  </w:rPr>
                  <w:t xml:space="preserve">Glycaemic category, antihypertensive/lipid medication use, productivity, permanent treatment discontinuation/time to discontinuation, fatty liver index, urinary incontinence, diet/activity. (CSR p. 61.)</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TableBodyCopyCADTH"/>
              <w:rPr/>
            </w:pPr>
            <w:sdt>
              <w:sdtPr>
                <w:alias w:val="Included studies — Study 2 secondary endpoints"/>
                <w:id w:val="1730012574"/>
              </w:sdtPr>
              <w:sdtContent>
                <w:r>
                  <w:rPr>
                    <w:rFonts w:ascii="Arial" w:hAnsi="Arial" w:cs="Arial"/>
                    <w:sz w:val="18"/>
                    <w:color w:val="000000"/>
                  </w:rPr>
                  <w:t xml:space="preserve">Second study not reported. (CSR pp. 1, 32.)</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TableBodyCopyCADTH"/>
              <w:rPr/>
            </w:pPr>
            <w:sdt>
              <w:sdtPr>
                <w:alias w:val="Included studies — Study 2 exploratory endpoints"/>
                <w:id w:val="606880433"/>
              </w:sdtPr>
              <w:sdtContent>
                <w:r>
                  <w:rPr>
                    <w:rFonts w:ascii="Arial" w:hAnsi="Arial" w:cs="Arial"/>
                    <w:sz w:val="18"/>
                    <w:color w:val="000000"/>
                  </w:rPr>
                  <w:t xml:space="preserve">Second study not reported. (CSR pp. 1, 32.)</w:t>
                </w:r>
              </w:sdtContent>
            </w:sdt>
          </w:p>
        </w:tc>
      </w:tr>
      <w:tr>
        <w:trPr>
          <w:trHeight w:val="20" w:hRule="atLeast"/>
          <w:cantSpli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Publication status</w:t>
            </w:r>
          </w:p>
        </w:tc>
      </w:tr>
      <w:tr>
        <w:trPr>
          <w:trHeight w:val="20" w:hRule="atLeast"/>
          <w:cantSpli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Publications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publications"/>
                <w:id w:val="1856749314"/>
              </w:sdtPr>
              <w:sdtContent>
                <w:r>
                  <w:rPr>
                    <w:rFonts w:ascii="Arial" w:hAnsi="Arial" w:cs="Arial"/>
                    <w:sz w:val="18"/>
                    <w:color w:val="000000"/>
                  </w:rPr>
                  <w:t xml:space="preserve">STEP 1 journal publication not reported. Final CSR dated 17 August 2020. (CSR p. 2.)</w:t>
                </w:r>
              </w:sdtContent>
            </w:sdt>
          </w:p>
          <w:p>
            <w:pPr>
              <w:pStyle w:val="TableBodyCopyCADTH"/>
              <w:rPr/>
            </w:pPr>
            <w:sdt>
              <w:sdtPr>
                <w:alias w:val="Included studies — Study 1 ClinicalTrials.gov entry"/>
                <w:id w:val="563167750"/>
              </w:sdtPr>
              <w:sdtContent>
                <w:r>
                  <w:rPr>
                    <w:rFonts w:ascii="Arial" w:hAnsi="Arial" w:cs="Arial"/>
                    <w:sz w:val="18"/>
                    <w:color w:val="000000"/>
                  </w:rPr>
                  <w:t xml:space="preserve">NCT03548935. (CSR p. 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publications"/>
                <w:id w:val="815883534"/>
              </w:sdtPr>
              <w:sdtContent>
                <w:r>
                  <w:rPr>
                    <w:rFonts w:ascii="Arial" w:hAnsi="Arial" w:cs="Arial"/>
                    <w:sz w:val="18"/>
                    <w:color w:val="000000"/>
                  </w:rPr>
                  <w:t xml:space="preserve">Second study not reported. (CSR pp. 1, 32.)</w:t>
                </w:r>
              </w:sdtContent>
            </w:sdt>
          </w:p>
          <w:p>
            <w:pPr>
              <w:pStyle w:val="TableBodyCopyCADTH"/>
              <w:rPr/>
            </w:pPr>
            <w:sdt>
              <w:sdtPr>
                <w:alias w:val="Included studies — Study 2 ClinicalTrials.gov entry"/>
                <w:id w:val="386404186"/>
              </w:sdtPr>
              <w:sdtContent>
                <w:r>
                  <w:rPr>
                    <w:rFonts w:ascii="Arial" w:hAnsi="Arial" w:cs="Arial"/>
                    <w:sz w:val="18"/>
                    <w:color w:val="000000"/>
                  </w:rPr>
                  <w:t xml:space="preserve">Second study not reported. (CSR pp. 1, 32.)</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pPr>
      <w:r>
        <w:rPr/>
      </w:r>
    </w:p>
    <w:p>
      <w:pPr>
        <w:pStyle w:val="Subheadinglvl1Working"/>
        <w:rPr/>
      </w:pPr>
      <w:r>
        <w:rPr/>
        <w:t>Description of Studies</w:t>
      </w:r>
    </w:p>
    <w:sdt>
      <w:sdtPr>
        <w:alias w:val="Long-term extension — description of studies"/>
        <w:id w:val="1444027236"/>
      </w:sdtPr>
      <w:sdtContent>
        <w:p>
          <w:pPr>
            <w:pStyle w:val="BodyCopyWorking"/>
          </w:pPr>
          <w:r>
            <w:rPr>
              <w:rFonts w:ascii="Arial" w:hAnsi="Arial"/>
              <w:sz w:val="20"/>
              <w:color w:val="000000"/>
            </w:rPr>
            <w:t xml:space="preserve">STEP 1 (NN9536-4373; NCT03548935) was a phase 3a, multicentre, multinational, randomized, double-blind, placebo-controlled trial; 1,961 participants were randomized 2:1 (semaglutide 1,306; placebo 655). It included 68 weeks of treatment and 7 weeks of safety follow-up. (CSR pp. 2, 35, 65-66.) It was conducted at 129 sites in 16 countries, including 7 Canadian sites and 63 Canadian participants. Trial initiation was 4 June 2018; primary completion 30 March 2020; completion 19 April 2020. (CSR pp. 2, 69.) The main phase is the included study; extension results are to be reported separately. Data cut-offs were 11 May 2020 for main data and 1 July 2020 for anti-semaglutide antibody and PK data. Centralized IWRS allocated treatment; no stratification factor is specified in the CSR randomization description. (CSR pp. 2, 32, 36, 42, 58.)</w:t>
          </w:r>
        </w:p>
      </w:sdtContent>
    </w:sdt>
    <w:sdt>
      <w:sdtPr>
        <w:alias w:val="Systematic review — description of included studies"/>
        <w:id w:val="1994106587"/>
      </w:sdtPr>
      <w:sdtContent>
        <w:p>
          <w:pPr>
            <w:pStyle w:val="BodyCopyWorking"/>
          </w:pPr>
          <w:r>
            <w:rPr>
              <w:rFonts w:ascii="Arial" w:hAnsi="Arial"/>
              <w:sz w:val="20"/>
              <w:color w:val="000000"/>
            </w:rPr>
            <w:t xml:space="preserve">STEP 1 (NN9536-4373; NCT03548935) was a phase 3a, multicentre, multinational, randomized, double-blind, placebo-controlled trial; 1,961 participants were randomized 2:1 (semaglutide 1,306; placebo 655). It included 68 weeks of treatment and 7 weeks of safety follow-up. (CSR pp. 2, 35, 65-66.) It was conducted at 129 sites in 16 countries, including 7 Canadian sites and 63 Canadian participants. Trial initiation was 4 June 2018; primary completion 30 March 2020; completion 19 April 2020. (CSR pp. 2, 69.) The main phase is the included study; extension results are to be reported separately. Data cut-offs were 11 May 2020 for main data and 1 July 2020 for anti-semaglutide antibody and PK data. Centralized IWRS allocated treatment; no stratification factor is specified in the CSR randomization description. (CSR pp. 2, 32, 36, 42, 58.)</w:t>
          </w:r>
        </w:p>
      </w:sdtContent>
    </w:sdt>
    <w:p>
      <w:pPr>
        <w:pStyle w:val="Subheadinglvl1Working"/>
        <w:rPr/>
      </w:pPr>
      <w:r>
        <w:rPr/>
        <w:t>Eligibility Criteria</w:t>
      </w:r>
    </w:p>
    <w:sdt>
      <w:sdtPr>
        <w:alias w:val="Systematic review — eligibility criteria discussion"/>
        <w:id w:val="827021544"/>
      </w:sdtPr>
      <w:sdtContent>
        <w:p>
          <w:pPr>
            <w:pStyle w:val="BodyCopyWorking"/>
          </w:pPr>
          <w:r>
            <w:rPr>
              <w:rFonts w:ascii="Arial" w:hAnsi="Arial" w:cs="Arial"/>
              <w:sz w:val="20"/>
              <w:color w:val="000000"/>
            </w:rPr>
            <w:t xml:space="preserve">Adults aged ≥18 years with BMI ≥30 kg/m², or ≥27 kg/m² with hypertension, dyslipidaemia, obstructive sleep apnoea or cardiovascular disease, and ≥1 unsuccessful dietary weight-loss effort; type 2 diabetes excluded. (CSR pp. 36-37.) Additional reported exclusions include HbA1c ≥6.5%, &gt;5 kg weight change within 90 days, uncontrolled thyroid disease, PHQ-9 ≥15 at screening and lifetime suicide attempt. Randomization required food-diary completion, PHQ-9 &lt;15 and no specified suicidal behaviour/ideation. The full protocol exclusion list is referenced but not reproduced in the supplied report. (CSR pp. 37-38, 68.)</w:t>
          </w:r>
        </w:p>
      </w:sdtContent>
    </w:sdt>
    <w:p>
      <w:pPr>
        <w:pStyle w:val="Subheadinglvl1Working"/>
        <w:rPr/>
      </w:pPr>
      <w:r>
        <w:rPr/>
        <w:t>Interventions</w:t>
      </w:r>
    </w:p>
    <w:sdt>
      <w:sdtPr>
        <w:alias w:val="Systematic review — interventions"/>
        <w:id w:val="680657803"/>
      </w:sdtPr>
      <w:sdtContent>
        <w:p>
          <w:pPr>
            <w:pStyle w:val="BodyCopyWorking"/>
          </w:pPr>
          <w:r>
            <w:rPr>
              <w:rFonts w:ascii="Arial" w:hAnsi="Arial" w:cs="Arial"/>
              <w:sz w:val="20"/>
              <w:color w:val="000000"/>
            </w:rPr>
            <w:t xml:space="preserve">Trial regimen: semaglutide subcutaneously once weekly, 0.25, 0.5, 1.0 and 1.7 mg for 4 weeks each, then 2.4 mg for 52 weeks. A 1.7 mg maintenance dose was permitted for intolerance, with an attempt to re-escalate recommended. (CSR pp. 39-40, Tables 9-1 and 9-2.) Both groups received counselling every 4 weeks for a 500 kcal/day deficit and ≥150 minutes/week of physical activity, with daily food/activity records. (CSR p. 41.) Allocation was centralized via IWRS, with subjects, investigators and sponsor blinded; products had identical appearance. (CSR p. 42.)</w:t>
          </w:r>
        </w:p>
      </w:sdtContent>
    </w:sdt>
    <w:p>
      <w:pPr>
        <w:pStyle w:val="Subheadinglvl1Working"/>
        <w:rPr/>
      </w:pPr>
      <w:r>
        <w:rPr/>
        <w:t>Outcomes</w:t>
      </w:r>
    </w:p>
    <w:sdt>
      <w:sdtPr>
        <w:alias w:val="Systematic review — outcome measures"/>
        <w:id w:val="1379685635"/>
      </w:sdtPr>
      <w:sdtContent>
        <w:p>
          <w:pPr>
            <w:pStyle w:val="BodyCopyWorking"/>
          </w:pPr>
          <w:r>
            <w:rPr>
              <w:rFonts w:ascii="Arial" w:hAnsi="Arial" w:cs="Arial"/>
              <w:sz w:val="20"/>
              <w:color w:val="000000"/>
            </w:rPr>
            <w:t xml:space="preserve">Co-primary: percentage change in body weight and ≥5% weight loss at week 68. Confirmatory secondary: ≥10% and ≥15% weight loss; changes in waist circumference, systolic blood pressure, SF-36 physical functioning and IWQOL-Lite-CT physical function at week 68. All eight endpoints were in the multiplicity-controlled hierarchy. (CSR pp. 59-61, 87, Tables 9-8 and 11-1.) Supportive/exploratory endpoints included ≥20% weight loss, BMI, lipids, glucose measures, body composition, other quality-of-life scores, medication use, work productivity, urinary incontinence and treatment discontinuation; safety included AEs and SAEs through week 75. (CSR pp. 59-61.) Body weight was measured with standardized digital scales; waist circumference with a standardized tape. SF-36 has 36 items, 8 domains and 2 summaries; IWQOL-Lite-CT has 20 items. Higher physical-function scores indicate better function. Prespecified within-person responder thresholds were +4.3 for SF-36 and +20 for IWQOL-Lite-CT; these are not between-group MIDs. A complete scale-range/MID-validation account is not provided here. (CSR pp. 45-46, 115, 120.)</w:t>
          </w:r>
        </w:p>
      </w:sdtContent>
    </w:sdt>
    <w:p>
      <w:pPr>
        <w:pStyle w:val="Normal"/>
        <w:spacing w:before="0" w:after="60"/>
        <w:ind w:start="66"/>
        <w:rPr>
          <w:rFonts w:ascii="Arial" w:hAnsi="Arial" w:cs="Arial"/>
          <w:color w:val="C00000"/>
          <w:sz w:val="20"/>
          <w:szCs w:val="20"/>
        </w:rPr>
      </w:pPr>
      <w:r>
        <w:rPr>
          <w:rFonts w:cs="Arial" w:ascii="Arial" w:hAnsi="Arial"/>
          <w:color w:val="C00000"/>
          <w:sz w:val="20"/>
          <w:szCs w:val="20"/>
        </w:rPr>
        <w:t xml:space="preserve">The summary table below is required for all applications. When identifying primary and secondary endpoints, include a ‘*’ and footnote identifying which endpoints were adjusted for multiple comparisons in the statistical analyses. </w:t>
      </w:r>
      <w:bookmarkStart w:id="72" w:name="_Toc93475814"/>
    </w:p>
    <w:p>
      <w:pPr>
        <w:pStyle w:val="TableTitleCADTH"/>
        <w:spacing w:lineRule="auto" w:line="360" w:before="240" w:after="0"/>
        <w:rPr>
          <w:rFonts w:cs="Arial"/>
          <w:color w:val="auto"/>
          <w:sz w:val="20"/>
          <w:szCs w:val="20"/>
        </w:rPr>
      </w:pPr>
      <w:r>
        <w:rPr>
          <w:rFonts w:cs="Arial"/>
          <w:color w:val="auto"/>
          <w:sz w:val="20"/>
          <w:szCs w:val="20"/>
        </w:rPr>
        <w:t xml:space="preserve">Table </w:t>
      </w:r>
      <w:sdt>
        <w:sdtPr>
          <w:alias w:val="Summary of outcomes table — number"/>
          <w:id w:val="31726976"/>
        </w:sdtPr>
        <w:sdtContent>
          <w:r>
            <w:rPr>
              <w:rFonts w:ascii="Arial" w:hAnsi="Arial" w:cs="Arial"/>
              <w:sz w:val="20"/>
              <w:color w:val="000000"/>
            </w:rPr>
            <w:t xml:space="preserve">7</w:t>
          </w:r>
        </w:sdtContent>
      </w:sdt>
      <w:r>
        <w:rPr>
          <w:rFonts w:cs="Arial"/>
          <w:color w:val="auto"/>
          <w:sz w:val="20"/>
          <w:szCs w:val="20"/>
        </w:rPr>
        <w:t>: Summary of Outcomes Relevant to the Systematic Review</w:t>
      </w:r>
      <w:bookmarkEnd w:id="72"/>
      <w:r>
        <w:rPr>
          <w:rFonts w:cs="Arial"/>
          <w:color w:val="auto"/>
          <w:sz w:val="20"/>
          <w:szCs w:val="20"/>
        </w:rPr>
        <w:t xml:space="preserve"> </w:t>
      </w:r>
    </w:p>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336"/>
        <w:gridCol w:w="2630"/>
        <w:gridCol w:w="2631"/>
        <w:gridCol w:w="2624"/>
      </w:tblGrid>
      <w:tr>
        <w:trPr>
          <w:tblHeader/>
          <w:cantSplit/>
        </w:trPr>
        <w:tc>
          <w:tcPr>
            <w:tcW w:w="233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Outcome Measure</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szCs w:val="18"/>
              </w:rPr>
            </w:pPr>
            <w:r>
              <w:rPr>
                <w:color w:themeColor="text1" w:themeTint="f2" w:val="0D0D0D"/>
                <w:szCs w:val="18"/>
              </w:rPr>
              <w:t>Timepoint</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t>Study 1</w:t>
            </w:r>
          </w:p>
        </w:tc>
        <w:tc>
          <w:tcPr>
            <w:tcW w:w="26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t>Study 2</w:t>
            </w:r>
          </w:p>
        </w:tc>
      </w:tr>
      <w:tr>
        <w:trPr>
          <w:cantSplit/>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ummary of outcomes — outcome 1 measure"/>
                <w:id w:val="1043302581"/>
              </w:sdtPr>
              <w:sdtContent>
                <w:r>
                  <w:rPr>
                    <w:rFonts w:ascii="Arial" w:hAnsi="Arial" w:cs="Arial"/>
                    <w:sz w:val="18"/>
                    <w:color w:val="000000"/>
                  </w:rPr>
                  <w:t xml:space="preserve">Body-weight change (%) and ≥5% loss* (CSR pp. 59-61, 87.)</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rPr/>
            </w:pPr>
            <w:sdt>
              <w:sdtPr>
                <w:alias w:val="Summary of outcomes — outcome 1 timepoint"/>
                <w:id w:val="1472210191"/>
              </w:sdtPr>
              <w:sdtContent>
                <w:r>
                  <w:rPr>
                    <w:rFonts w:ascii="Arial" w:hAnsi="Arial" w:cs="Arial"/>
                    <w:sz w:val="18"/>
                    <w:color w:val="000000"/>
                  </w:rPr>
                  <w:t xml:space="preserve">Week 68 (CSR pp. 59-61, 87.)</w:t>
                </w:r>
              </w:sdtContent>
            </w:sdt>
          </w:p>
        </w:tc>
        <w:tc>
          <w:tcPr>
            <w:tcW w:w="2631" w:type="dxa"/>
            <w:tcBorders>
              <w:top w:val="single" w:sz="4" w:space="0" w:color="000000"/>
              <w:start w:val="single" w:sz="4" w:space="0" w:color="000000"/>
              <w:bottom w:val="single" w:sz="4" w:space="0" w:color="000000"/>
              <w:end w:val="single" w:sz="4" w:space="0" w:color="000000"/>
            </w:tcBorders>
          </w:tcPr>
          <w:sdt>
            <w:sdtPr>
              <w:alias w:val="Summary of outcomes — Study 1 outcome 1 classification"/>
              <w:id w:val="1842122795"/>
            </w:sdtPr>
            <w:sdtContent>
              <w:p>
                <w:pPr>
                  <w:pStyle w:val="BodyCopyWorking"/>
                </w:pPr>
                <w:r>
                  <w:rPr>
                    <w:rFonts w:ascii="Arial" w:hAnsi="Arial" w:cs="Arial"/>
                    <w:sz w:val="18"/>
                    <w:color w:val="000000"/>
                  </w:rPr>
                  <w:t xml:space="preserve">Co-primary* (CSR pp. 59-61, 87.)</w:t>
                </w:r>
              </w:p>
            </w:sdtContent>
          </w:sdt>
        </w:tc>
        <w:tc>
          <w:tcPr>
            <w:tcW w:w="2624" w:type="dxa"/>
            <w:tcBorders>
              <w:top w:val="single" w:sz="4" w:space="0" w:color="000000"/>
              <w:start w:val="single" w:sz="4" w:space="0" w:color="000000"/>
              <w:bottom w:val="single" w:sz="4" w:space="0" w:color="000000"/>
              <w:end w:val="single" w:sz="4" w:space="0" w:color="000000"/>
            </w:tcBorders>
          </w:tcPr>
          <w:sdt>
            <w:sdtPr>
              <w:alias w:val="Summary of outcomes — Study 2 outcome 1 classification"/>
              <w:id w:val="1307588923"/>
            </w:sdtPr>
            <w:sdtContent>
              <w:p>
                <w:pPr>
                  <w:pStyle w:val="BodyCopyWorking"/>
                </w:pPr>
                <w:r>
                  <w:rPr>
                    <w:rFonts w:ascii="Arial" w:hAnsi="Arial" w:cs="Arial"/>
                    <w:sz w:val="18"/>
                    <w:color w:val="000000"/>
                  </w:rPr>
                  <w:t xml:space="preserve">Second study not reported. (CSR pp. 1, 32.)</w:t>
                </w:r>
              </w:p>
            </w:sdtContent>
          </w:sdt>
        </w:tc>
      </w:tr>
      <w:tr>
        <w:trPr>
          <w:cantSplit/>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ummary of outcomes — outcome 2 measure"/>
                <w:id w:val="266798436"/>
              </w:sdtPr>
              <w:sdtContent>
                <w:r>
                  <w:rPr>
                    <w:rFonts w:ascii="Arial" w:hAnsi="Arial" w:cs="Arial"/>
                    <w:sz w:val="18"/>
                    <w:color w:val="000000"/>
                  </w:rPr>
                  <w:t xml:space="preserve">≥10%/≥15% loss; waist circumference; systolic BP* (CSR pp. 59-61, 87.)</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rPr/>
            </w:pPr>
            <w:sdt>
              <w:sdtPr>
                <w:alias w:val="Summary of outcomes — outcome 2 timepoint"/>
                <w:id w:val="1438797414"/>
              </w:sdtPr>
              <w:sdtContent>
                <w:r>
                  <w:rPr>
                    <w:rFonts w:ascii="Arial" w:hAnsi="Arial" w:cs="Arial"/>
                    <w:sz w:val="18"/>
                    <w:color w:val="000000"/>
                  </w:rPr>
                  <w:t xml:space="preserve">Week 68 (CSR pp. 59-61, 87.)</w:t>
                </w:r>
              </w:sdtContent>
            </w:sdt>
          </w:p>
        </w:tc>
        <w:tc>
          <w:tcPr>
            <w:tcW w:w="2631" w:type="dxa"/>
            <w:tcBorders>
              <w:top w:val="single" w:sz="4" w:space="0" w:color="000000"/>
              <w:start w:val="single" w:sz="4" w:space="0" w:color="000000"/>
              <w:bottom w:val="single" w:sz="4" w:space="0" w:color="000000"/>
              <w:end w:val="single" w:sz="4" w:space="0" w:color="000000"/>
            </w:tcBorders>
          </w:tcPr>
          <w:p>
            <w:pPr>
              <w:pStyle w:val="TableBodyCopyCADTH"/>
              <w:jc w:val="center"/>
              <w:rPr/>
            </w:pPr>
            <w:sdt>
              <w:sdtPr>
                <w:alias w:val="Summary of outcomes — Study 1 outcome 2 classification"/>
                <w:id w:val="504497766"/>
              </w:sdtPr>
              <w:sdtContent>
                <w:r>
                  <w:rPr>
                    <w:rFonts w:ascii="Arial" w:hAnsi="Arial" w:cs="Arial"/>
                    <w:sz w:val="18"/>
                    <w:color w:val="000000"/>
                  </w:rPr>
                  <w:t xml:space="preserve">Confirmatory secondary* (CSR pp. 59-61, 87.)</w:t>
                </w:r>
              </w:sdtContent>
            </w:sdt>
          </w:p>
        </w:tc>
        <w:tc>
          <w:tcPr>
            <w:tcW w:w="2624" w:type="dxa"/>
            <w:tcBorders>
              <w:top w:val="single" w:sz="4" w:space="0" w:color="000000"/>
              <w:start w:val="single" w:sz="4" w:space="0" w:color="000000"/>
              <w:bottom w:val="single" w:sz="4" w:space="0" w:color="000000"/>
              <w:end w:val="single" w:sz="4" w:space="0" w:color="000000"/>
            </w:tcBorders>
          </w:tcPr>
          <w:p>
            <w:pPr>
              <w:pStyle w:val="TableBodyCopyCADTH"/>
              <w:jc w:val="center"/>
              <w:rPr/>
            </w:pPr>
            <w:sdt>
              <w:sdtPr>
                <w:alias w:val="Summary of outcomes — Study 2 outcome 2 classification"/>
                <w:id w:val="1872620584"/>
              </w:sdtPr>
              <w:sdtContent>
                <w:r>
                  <w:rPr>
                    <w:rFonts w:ascii="Arial" w:hAnsi="Arial" w:cs="Arial"/>
                    <w:sz w:val="18"/>
                    <w:color w:val="000000"/>
                  </w:rPr>
                  <w:t xml:space="preserve">Second study not reported. (CSR pp. 1, 32.)</w:t>
                </w:r>
              </w:sdtContent>
            </w:sdt>
          </w:p>
        </w:tc>
      </w:tr>
      <w:tr>
        <w:trPr>
          <w:cantSplit/>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necessary</w:t>
            </w:r>
          </w:p>
          <w:p>
            <w:pPr>
              <w:keepNext w:val="0"/>
            </w:pPr>
            <w:sdt>
              <w:sdtPr>
                <w:alias w:val="Completed response — SF-36 physical functioning and IWQOL-Lite-CT physical function*; "/>
                <w:id w:val="1900000017"/>
              </w:sdtPr>
              <w:sdtContent>
                <w:r>
                  <w:rPr>
                    <w:rFonts w:ascii="Arial" w:hAnsi="Arial"/>
                    <w:color w:val="000000"/>
                    <w:sz w:val="18"/>
                  </w:rPr>
                  <w:t>SF-36 physical functioning and IWQOL-Lite-CT physical function*; safety (CSR pp. 59-61, 87.)</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jc w:val="center"/>
              <w:rPr>
                <w:color w:val="C00000"/>
              </w:rPr>
            </w:pPr>
            <w:r>
              <w:rPr>
                <w:color w:val="C00000"/>
              </w:rPr>
            </w:r>
          </w:p>
          <w:p>
            <w:pPr>
              <w:keepNext w:val="0"/>
            </w:pPr>
            <w:sdt>
              <w:sdtPr>
                <w:alias w:val="Completed response — Week 68; AEs/SAEs through week 75 (CSR pp. 59-61, 87.)"/>
                <w:id w:val="1900000018"/>
              </w:sdtPr>
              <w:sdtContent>
                <w:r>
                  <w:rPr>
                    <w:rFonts w:ascii="Arial" w:hAnsi="Arial"/>
                    <w:color w:val="000000"/>
                    <w:sz w:val="18"/>
                  </w:rPr>
                  <w:t>Week 68; AEs/SAEs through week 75 (CSR pp. 59-61, 87.)</w:t>
                </w:r>
              </w:sdtContent>
            </w:sdt>
          </w:p>
        </w:tc>
        <w:tc>
          <w:tcPr>
            <w:tcW w:w="2631" w:type="dxa"/>
            <w:tcBorders>
              <w:top w:val="single" w:sz="4" w:space="0" w:color="000000"/>
              <w:start w:val="single" w:sz="4" w:space="0" w:color="000000"/>
              <w:bottom w:val="single" w:sz="4" w:space="0" w:color="000000"/>
              <w:end w:val="single" w:sz="4" w:space="0" w:color="000000"/>
            </w:tcBorders>
          </w:tcPr>
          <w:p>
            <w:pPr>
              <w:pStyle w:val="TableBodyCopyCADTH"/>
              <w:jc w:val="center"/>
              <w:rPr>
                <w:highlight w:val="yellow"/>
              </w:rPr>
            </w:pPr>
            <w:r>
              <w:rPr>
                <w:highlight w:val="yellow"/>
              </w:rPr>
            </w:r>
          </w:p>
          <w:p>
            <w:pPr>
              <w:keepNext w:val="0"/>
            </w:pPr>
            <w:sdt>
              <w:sdtPr>
                <w:alias w:val="Completed response — PROs: confirmatory secondary*; safety: supportive (CSR pp. 59-61,"/>
                <w:id w:val="1900000019"/>
              </w:sdtPr>
              <w:sdtContent>
                <w:r>
                  <w:rPr>
                    <w:rFonts w:ascii="Arial" w:hAnsi="Arial"/>
                    <w:color w:val="000000"/>
                    <w:sz w:val="18"/>
                  </w:rPr>
                  <w:t>PROs: confirmatory secondary*; safety: supportive (CSR pp. 59-61, 87.)</w:t>
                </w:r>
              </w:sdtContent>
            </w:sdt>
          </w:p>
        </w:tc>
        <w:tc>
          <w:tcPr>
            <w:tcW w:w="2624" w:type="dxa"/>
            <w:tcBorders>
              <w:top w:val="single" w:sz="4" w:space="0" w:color="000000"/>
              <w:start w:val="single" w:sz="4" w:space="0" w:color="000000"/>
              <w:bottom w:val="single" w:sz="4" w:space="0" w:color="000000"/>
              <w:end w:val="single" w:sz="4" w:space="0" w:color="000000"/>
            </w:tcBorders>
          </w:tcPr>
          <w:p>
            <w:pPr>
              <w:pStyle w:val="TableBodyCopyCADTH"/>
              <w:jc w:val="center"/>
              <w:rPr>
                <w:highlight w:val="yellow"/>
              </w:rPr>
            </w:pPr>
            <w:r>
              <w:rPr>
                <w:highlight w:val="yellow"/>
              </w:rPr>
            </w:r>
          </w:p>
          <w:p>
            <w:pPr>
              <w:keepNext w:val="0"/>
            </w:pPr>
            <w:sdt>
              <w:sdtPr>
                <w:alias w:val="Completed response — No second study reported. (CSR pp. 1, 32.)"/>
                <w:id w:val="1900000020"/>
              </w:sdtPr>
              <w:sdtContent>
                <w:r>
                  <w:rPr>
                    <w:rFonts w:ascii="Arial" w:hAnsi="Arial"/>
                    <w:color w:val="000000"/>
                    <w:sz w:val="18"/>
                  </w:rPr>
                  <w:t>No second study reported. (CSR pp. 1, 32.)</w:t>
                </w:r>
              </w:sdtContent>
            </w:sdt>
          </w:p>
        </w:tc>
      </w:tr>
    </w:tbl>
    <w:p>
      <w:pPr>
        <w:pStyle w:val="TableFooterCADTH"/>
        <w:rPr>
          <w:color w:val="C00000"/>
        </w:rPr>
      </w:pPr>
      <w:r>
        <w:rPr>
          <w:color w:val="C00000"/>
        </w:rPr>
        <w:t xml:space="preserve">* Statistical testing for these endpoints was adjusted for multiple comparisons (e.g., hierarchal testing) </w:t>
      </w:r>
    </w:p>
    <w:p>
      <w:pPr>
        <w:pStyle w:val="TableFooterCADTH"/>
        <w:rPr>
          <w:color w:val="C00000"/>
        </w:rPr>
      </w:pPr>
      <w:r>
        <w:rPr>
          <w:color w:val="C00000"/>
        </w:rPr>
        <w:t>Abbreviations must be listed under the table in alphabetical order. For example, CI = confidence interval; OR = odds ratio</w:t>
      </w:r>
      <w:bookmarkEnd w:id="70"/>
      <w:bookmarkEnd w:id="71"/>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Statistical analysis</w:t>
      </w:r>
    </w:p>
    <w:p>
      <w:pPr>
        <w:pStyle w:val="Subheadinglvl2Working"/>
        <w:rPr/>
      </w:pPr>
      <w:r>
        <w:rPr/>
        <w:t>Clinical Trial Endpoints</w:t>
      </w:r>
    </w:p>
    <w:sdt>
      <w:sdtPr>
        <w:alias w:val="Systematic review — clinical endpoint statistical analysis"/>
        <w:id w:val="24624863"/>
      </w:sdtPr>
      <w:sdtContent>
        <w:p>
          <w:pPr>
            <w:pStyle w:val="BodyCopyWorking"/>
          </w:pPr>
          <w:r>
            <w:rPr>
              <w:rFonts w:ascii="Arial" w:hAnsi="Arial"/>
              <w:sz w:val="20"/>
              <w:color w:val="000000"/>
            </w:rPr>
            <w:t xml:space="preserve">The primary treatment-policy estimand evaluated all randomized participants irrespective of treatment discontinuation or use of other anti-obesity therapy; the secondary hypothetical estimand assumed adherence to randomized therapy without other anti-obesity treatment. (CSR pp. 33-34.) Week-68 percentage body-weight change was analysed by ANCOVA with randomized treatment as factor and baseline body weight as covariate. Binary ≥5% weight-loss response used logistic regression with the same factor and covariate. Missing week-68 outcomes were imputed 1,000 times from retrieved participants in the same randomized arm. (CSR pp. 93, 333.) Continuous waist-circumference and physical-function outcomes used ANCOVA with treatment as factor and the corresponding baseline value as covariate; missing responses used retrieved-dropout multiple imputation. (CSR pp. 371, 462, 488.) Sensitivity analyses included jump-to-reference, two single-imputation scenarios with weight regain, MMRM and two-way tipping-point analyses; the ≥5% response also had a non-responder analysis. (CSR pp. 90-94, 334, 346.)</w:t>
          </w:r>
        </w:p>
      </w:sdtContent>
    </w:sdt>
    <w:p>
      <w:pPr>
        <w:pStyle w:val="InstructionsWorking"/>
        <w:numPr>
          <w:ilvl w:val="0"/>
          <w:numId w:val="0"/>
        </w:numPr>
        <w:ind w:hanging="0" w:start="144"/>
        <w:rPr/>
      </w:pPr>
      <w:r>
        <w:rPr/>
      </w:r>
    </w:p>
    <w:p>
      <w:pPr>
        <w:pStyle w:val="InstructionsWorking"/>
        <w:numPr>
          <w:ilvl w:val="0"/>
          <w:numId w:val="0"/>
        </w:numPr>
        <w:ind w:hanging="0" w:start="0"/>
        <w:rPr>
          <w:b/>
          <w:bCs/>
          <w:color w:val="auto"/>
          <w:sz w:val="20"/>
          <w:szCs w:val="20"/>
        </w:rPr>
      </w:pPr>
      <w:bookmarkStart w:id="73" w:name="_Toc93475815"/>
      <w:r>
        <w:rPr>
          <w:b/>
          <w:bCs/>
          <w:color w:val="auto"/>
          <w:sz w:val="20"/>
          <w:szCs w:val="20"/>
        </w:rPr>
        <w:t xml:space="preserve">Table </w:t>
      </w:r>
      <w:sdt>
        <w:sdtPr>
          <w:alias w:val="Statistical analysis table — number"/>
          <w:id w:val="1343303465"/>
        </w:sdtPr>
        <w:sdtContent>
          <w:r>
            <w:rPr>
              <w:rFonts w:ascii="Arial" w:hAnsi="Arial" w:cs="Arial"/>
              <w:sz w:val="20"/>
              <w:color w:val="000000"/>
            </w:rPr>
            <w:t xml:space="preserve">8</w:t>
          </w:r>
        </w:sdtContent>
      </w:sdt>
      <w:r>
        <w:rPr>
          <w:b/>
          <w:bCs/>
          <w:color w:val="auto"/>
          <w:sz w:val="20"/>
          <w:szCs w:val="20"/>
        </w:rPr>
        <w:t>: Statistical Analysis of Efficacy Endpoints</w:t>
      </w:r>
      <w:bookmarkEnd w:id="73"/>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5"/>
        <w:gridCol w:w="2051"/>
        <w:gridCol w:w="2320"/>
        <w:gridCol w:w="1778"/>
        <w:gridCol w:w="2595"/>
        <w:gridCol w:w="19"/>
      </w:tblGrid>
      <w:tr>
        <w:trPr>
          <w:tblHeader/>
          <w:cantSplit/>
        </w:trPr>
        <w:tc>
          <w:tcPr>
            <w:tcW w:w="17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Endpoint</w:t>
            </w:r>
          </w:p>
        </w:tc>
        <w:tc>
          <w:tcPr>
            <w:tcW w:w="205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Statistical Model</w:t>
            </w:r>
          </w:p>
        </w:tc>
        <w:tc>
          <w:tcPr>
            <w:tcW w:w="231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Adjustment Factors</w:t>
            </w:r>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Handling of missing data</w:t>
            </w:r>
          </w:p>
        </w:tc>
        <w:tc>
          <w:tcPr>
            <w:tcW w:w="259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Sensitivity Analyses</w:t>
            </w:r>
          </w:p>
        </w:tc>
        <w:tc>
          <w:tcPr>
            <w:tcW w:w="19" w:type="dxa"/>
            <w:tcBorders/>
          </w:tcPr>
          <w:p>
            <w:pPr>
              <w:pStyle w:val="Normal"/>
              <w:spacing w:lineRule="atLeast" w:line="0" w:before="0" w:after="0"/>
              <w:rPr>
                <w:sz w:val="2"/>
              </w:rPr>
            </w:pPr>
            <w:r>
              <w:rPr>
                <w:sz w:val="2"/>
              </w:rPr>
            </w:r>
          </w:p>
        </w:tc>
      </w:tr>
      <w:tr>
        <w:trPr>
          <w:cantSplit/>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color w:val="C00000"/>
                <w:szCs w:val="18"/>
              </w:rPr>
            </w:pPr>
            <w:r>
              <w:rPr>
                <w:color w:val="C00000"/>
                <w:szCs w:val="18"/>
              </w:rPr>
              <w:t>Study 1</w:t>
            </w:r>
          </w:p>
          <w:p>
            <w:pPr>
              <w:keepNext w:val="0"/>
            </w:pPr>
            <w:sdt>
              <w:sdtPr>
                <w:alias w:val="Completed response — STEP 1. (CSR p. 2.)"/>
                <w:id w:val="1900000021"/>
              </w:sdtPr>
              <w:sdtContent>
                <w:r>
                  <w:rPr>
                    <w:rFonts w:ascii="Arial" w:hAnsi="Arial"/>
                    <w:color w:val="000000"/>
                    <w:sz w:val="18"/>
                  </w:rPr>
                  <w:t>STEP 1. (CSR p. 2.)</w:t>
                </w:r>
              </w:sdtContent>
            </w:sdt>
          </w:p>
        </w:tc>
      </w:tr>
      <w:tr>
        <w:trPr>
          <w:cantSplit/>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w:id w:val="1961702415"/>
              </w:sdtPr>
              <w:sdtContent>
                <w:r>
                  <w:rPr>
                    <w:rFonts w:ascii="Arial" w:hAnsi="Arial" w:cs="Arial"/>
                    <w:sz w:val="18"/>
                    <w:color w:val="000000"/>
                  </w:rPr>
                  <w:t xml:space="preserve">Body-weight change (%) (CSR pp. 93, 333-334, 346.)</w:t>
                </w:r>
              </w:sdtContent>
            </w:sdt>
          </w:p>
          <w:p>
            <w:pPr>
              <w:pStyle w:val="TableBodyCopyCADTH"/>
              <w:rPr>
                <w:color w:val="C00000"/>
              </w:rPr>
            </w:pPr>
            <w:r>
              <w:rPr>
                <w:color w:val="C00000"/>
              </w:rPr>
            </w:r>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model"/>
                <w:id w:val="2143684928"/>
              </w:sdtPr>
              <w:sdtContent>
                <w:r>
                  <w:rPr>
                    <w:rFonts w:ascii="Arial" w:hAnsi="Arial" w:cs="Arial"/>
                    <w:sz w:val="18"/>
                    <w:color w:val="000000"/>
                  </w:rPr>
                  <w:t xml:space="preserve">ANCOVA (CSR pp. 93, 333-334, 346.)</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adjustment factors"/>
                <w:id w:val="1331195698"/>
              </w:sdtPr>
              <w:sdtContent>
                <w:r>
                  <w:rPr>
                    <w:rFonts w:ascii="Arial" w:hAnsi="Arial" w:cs="Arial"/>
                    <w:sz w:val="18"/>
                    <w:color w:val="000000"/>
                  </w:rPr>
                  <w:t xml:space="preserve">Treatment factor; baseline weight covariate (CSR pp. 93, 333-334, 346.)</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Statistical analysis — Study 1 endpoint 1 missing data"/>
                <w:id w:val="1125550508"/>
              </w:sdtPr>
              <w:sdtContent>
                <w:r>
                  <w:rPr>
                    <w:rFonts w:ascii="Arial" w:hAnsi="Arial" w:cs="Arial"/>
                    <w:sz w:val="18"/>
                    <w:color w:val="000000"/>
                  </w:rPr>
                  <w:t xml:space="preserve">Retrieved-dropout multiple imputation ×1,000 (CSR pp. 93, 333-334, 346.)</w:t>
                </w:r>
              </w:sdtContent>
            </w:sdt>
            <w:r>
              <w:rPr>
                <w:color w:val="C00000"/>
              </w:rPr>
              <w:t xml:space="preserve"> </w:t>
            </w:r>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sensitivity analyses"/>
                <w:id w:val="118805113"/>
              </w:sdtPr>
              <w:sdtContent>
                <w:r>
                  <w:rPr>
                    <w:rFonts w:ascii="Arial" w:hAnsi="Arial"/>
                    <w:sz w:val="18"/>
                    <w:color w:val="000000"/>
                  </w:rPr>
                  <w:t xml:space="preserve">Jump-to-reference multiple imputation; single imputation S1 and S2 with weight regain; MMRM; two-way tipping-point multiple imputation. (CSR pp. 90-92, 334.)</w:t>
                </w:r>
              </w:sdtContent>
            </w:sdt>
          </w:p>
        </w:tc>
        <w:tc>
          <w:tcPr>
            <w:tcW w:w="19" w:type="dxa"/>
            <w:tcBorders/>
          </w:tcPr>
          <w:p>
            <w:pPr>
              <w:pStyle w:val="Normal"/>
              <w:spacing w:lineRule="atLeast" w:line="0" w:before="0" w:after="0"/>
              <w:rPr>
                <w:sz w:val="2"/>
              </w:rPr>
            </w:pPr>
            <w:r>
              <w:rPr>
                <w:sz w:val="2"/>
              </w:rPr>
            </w:r>
          </w:p>
        </w:tc>
      </w:tr>
      <w:tr>
        <w:trPr>
          <w:cantSplit/>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s"/>
                <w:id w:val="932791655"/>
              </w:sdtPr>
              <w:sdtContent>
                <w:r>
                  <w:rPr>
                    <w:rFonts w:ascii="Arial" w:hAnsi="Arial"/>
                    <w:sz w:val="18"/>
                    <w:color w:val="000000"/>
                  </w:rPr>
                  <w:t xml:space="preserve">≥5%, ≥10% and ≥15% body-weight loss at week 68; changes in waist circumference, systolic blood pressure, SF-36 physical functioning and IWQOL-Lite-CT physical function at week 68. (CSR pp. 59-60, 87.)</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models"/>
                <w:id w:val="724079627"/>
              </w:sdtPr>
              <w:sdtContent>
                <w:r>
                  <w:rPr>
                    <w:rFonts w:ascii="Arial" w:hAnsi="Arial"/>
                    <w:sz w:val="18"/>
                    <w:color w:val="000000"/>
                  </w:rPr>
                  <w:t xml:space="preserve">Binary weight-loss responses: logistic regression. Continuous changes: ANCOVA. (CSR pp. 93, 371, 418, 462, 488.)</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adjustment factors"/>
                <w:id w:val="1063602554"/>
              </w:sdtPr>
              <w:sdtContent>
                <w:r>
                  <w:rPr>
                    <w:rFonts w:ascii="Arial" w:hAnsi="Arial"/>
                    <w:sz w:val="18"/>
                    <w:color w:val="000000"/>
                  </w:rPr>
                  <w:t xml:space="preserve">Randomized treatment as factor; baseline body weight as covariate for weight-loss responses, and the corresponding baseline measure for continuous changes. (CSR pp. 93, 371, 418, 462, 488.)</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missing data"/>
                <w:id w:val="1996243408"/>
              </w:sdtPr>
              <w:sdtContent>
                <w:r>
                  <w:rPr>
                    <w:rFonts w:ascii="Arial" w:hAnsi="Arial"/>
                    <w:sz w:val="18"/>
                    <w:color w:val="000000"/>
                  </w:rPr>
                  <w:t xml:space="preserve">Missing week-68 outcomes: retrieved-dropout multiple imputation (1,000 imputations) from the same randomized arm. (CSR pp. 93, 371, 418, 462, 488.)</w:t>
                </w:r>
              </w:sdtContent>
            </w:sdt>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sensitivity analyses"/>
                <w:id w:val="1507612720"/>
              </w:sdtPr>
              <w:sdtContent>
                <w:r>
                  <w:rPr>
                    <w:rFonts w:ascii="Arial" w:hAnsi="Arial"/>
                    <w:sz w:val="18"/>
                    <w:color w:val="000000"/>
                  </w:rPr>
                  <w:t xml:space="preserve">For ≥5% response: jump-to-reference, S1, S2, MMRM, non-responder and tipping-point analyses. Waist and physical-function sensitivity analyses are reported separately. (CSR pp. 94, 97, 114, 119, 346.)</w:t>
                </w:r>
              </w:sdtContent>
            </w:sdt>
          </w:p>
        </w:tc>
        <w:tc>
          <w:tcPr>
            <w:tcW w:w="19" w:type="dxa"/>
            <w:tcBorders/>
          </w:tcPr>
          <w:p>
            <w:pPr>
              <w:pStyle w:val="Normal"/>
              <w:spacing w:lineRule="atLeast" w:line="0" w:before="0" w:after="0"/>
              <w:rPr>
                <w:sz w:val="2"/>
              </w:rPr>
            </w:pPr>
            <w:r>
              <w:rPr>
                <w:sz w:val="2"/>
              </w:rPr>
            </w:r>
          </w:p>
        </w:tc>
      </w:tr>
      <w:tr>
        <w:trPr>
          <w:cantSplit/>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szCs w:val="18"/>
              </w:rPr>
            </w:pPr>
            <w:r>
              <w:rPr>
                <w:color w:val="C00000"/>
                <w:szCs w:val="18"/>
              </w:rPr>
              <w:t>Study 2</w:t>
            </w:r>
          </w:p>
          <w:p>
            <w:pPr>
              <w:keepNext w:val="0"/>
            </w:pPr>
            <w:sdt>
              <w:sdtPr>
                <w:alias w:val="Completed response — No second study reported. (CSR pp. 1, 32.)"/>
                <w:id w:val="1900000022"/>
              </w:sdtPr>
              <w:sdtContent>
                <w:r>
                  <w:rPr>
                    <w:rFonts w:ascii="Arial" w:hAnsi="Arial"/>
                    <w:color w:val="000000"/>
                    <w:sz w:val="18"/>
                  </w:rPr>
                  <w:t>No second study reported. (CSR pp. 1, 32.)</w:t>
                </w:r>
              </w:sdtContent>
            </w:sdt>
          </w:p>
        </w:tc>
      </w:tr>
      <w:tr>
        <w:trPr>
          <w:cantSplit/>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s"/>
                <w:id w:val="1193492575"/>
              </w:sdtPr>
              <w:sdtContent>
                <w:r>
                  <w:rPr>
                    <w:rFonts w:ascii="Arial" w:hAnsi="Arial" w:cs="Arial"/>
                    <w:sz w:val="18"/>
                    <w:color w:val="000000"/>
                  </w:rPr>
                  <w:t xml:space="preserve">Second study not reported. (CSR pp. 1, 32.)</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models"/>
                <w:id w:val="598107064"/>
              </w:sdtPr>
              <w:sdtContent>
                <w:r>
                  <w:rPr>
                    <w:rFonts w:ascii="Arial" w:hAnsi="Arial" w:cs="Arial"/>
                    <w:sz w:val="18"/>
                    <w:color w:val="000000"/>
                  </w:rPr>
                  <w:t xml:space="preserve">Second study not reported. (CSR pp. 1, 32.)</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adjustment factors"/>
                <w:id w:val="1962817948"/>
              </w:sdtPr>
              <w:sdtContent>
                <w:r>
                  <w:rPr>
                    <w:rFonts w:ascii="Arial" w:hAnsi="Arial" w:cs="Arial"/>
                    <w:sz w:val="18"/>
                    <w:color w:val="000000"/>
                  </w:rPr>
                  <w:t xml:space="preserve">Second study not reported. (CSR pp. 1, 32.)</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p>
            <w:pPr>
              <w:keepNext w:val="0"/>
            </w:pPr>
            <w:sdt>
              <w:sdtPr>
                <w:alias w:val="Completed response — No second study reported. (CSR pp. 1, 32.)"/>
                <w:id w:val="1900000023"/>
              </w:sdtPr>
              <w:sdtContent>
                <w:r>
                  <w:rPr>
                    <w:rFonts w:ascii="Arial" w:hAnsi="Arial"/>
                    <w:color w:val="000000"/>
                    <w:sz w:val="18"/>
                  </w:rPr>
                  <w:t>No second study reported. (CSR pp. 1, 32.)</w:t>
                </w:r>
              </w:sdtContent>
            </w:sdt>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sensitivity analyses"/>
                <w:id w:val="839539422"/>
              </w:sdtPr>
              <w:sdtContent>
                <w:r>
                  <w:rPr>
                    <w:rFonts w:ascii="Arial" w:hAnsi="Arial" w:cs="Arial"/>
                    <w:sz w:val="18"/>
                    <w:color w:val="000000"/>
                  </w:rPr>
                  <w:t xml:space="preserve">Second study not reported. (CSR pp. 1, 32.)</w:t>
                </w:r>
              </w:sdtContent>
            </w:sdt>
          </w:p>
        </w:tc>
        <w:tc>
          <w:tcPr>
            <w:tcW w:w="19" w:type="dxa"/>
            <w:tcBorders/>
          </w:tcPr>
          <w:p>
            <w:pPr>
              <w:pStyle w:val="Normal"/>
              <w:spacing w:lineRule="atLeast" w:line="0" w:before="0" w:after="0"/>
              <w:rPr>
                <w:sz w:val="2"/>
              </w:rPr>
            </w:pPr>
            <w:r>
              <w:rPr>
                <w:sz w:val="2"/>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Sample Size and Power Calculation</w:t>
      </w:r>
    </w:p>
    <w:p>
      <w:pPr>
        <w:pStyle w:val="Normal"/>
        <w:spacing w:lineRule="auto" w:line="276"/>
        <w:rPr/>
      </w:pPr>
      <w:sdt>
        <w:sdtPr>
          <w:alias w:val="Systematic review — sample size and power calculation"/>
          <w:id w:val="1518305444"/>
        </w:sdtPr>
        <w:sdtContent>
          <w:r>
            <w:rPr>
              <w:rFonts w:ascii="Arial" w:hAnsi="Arial" w:cs="Arial"/>
              <w:sz w:val="20"/>
              <w:color w:val="000000"/>
            </w:rPr>
            <w:t xml:space="preserve">Planned N=1,950 (1,300 semaglutide; 650 placebo), chosen to support safety exposure/regulatory requirements; reported effective power was 99% for eight hierarchical efficacy endpoints. The IWQOL-Lite-CT power calculation was updated before unblinding without changing sample size. Detailed effect-size/variance assumptions are referenced to the protocol/SAP but not provided in the supplied report. (CSR pp. 36, 58, 62.)</w:t>
          </w:r>
        </w:sdtContent>
      </w:sdt>
    </w:p>
    <w:p>
      <w:pPr>
        <w:pStyle w:val="Subheadinglvl2Working"/>
        <w:rPr>
          <w:color w:val="C00000"/>
        </w:rPr>
      </w:pPr>
      <w:r>
        <w:rPr/>
        <w:t>Statistical Testing</w:t>
      </w:r>
    </w:p>
    <w:sdt>
      <w:sdtPr>
        <w:alias w:val="Systematic review — statistical testing"/>
        <w:id w:val="959984345"/>
      </w:sdtPr>
      <w:sdtContent>
        <w:p>
          <w:pPr>
            <w:pStyle w:val="BodyCopyWorking"/>
          </w:pPr>
          <w:r>
            <w:rPr>
              <w:rFonts w:ascii="Arial" w:hAnsi="Arial"/>
              <w:sz w:val="20"/>
              <w:color w:val="000000"/>
            </w:rPr>
            <w:t xml:space="preserve">Final superiority analyses used a prespecified hierarchy: percentage weight change; ≥5%, ≥10% and ≥15% weight loss; waist circumference; systolic blood pressure; SF-36 physical functioning; and IWQOL-Lite-CT physical function. Each had local two-sided alpha 0.05, with multiplicity controlled through hierarchical testing. All eight tests met superiority (p&lt;0.0001); displayed p-values are labelled unadjusted. (CSR p. 87, Table 11-1.) ANCOVA was used for continuous changes and logistic regression for binary responses, with randomized treatment and the relevant baseline covariate. (CSR pp. 93, 333, 371.) No interim analysis was planned or performed, and no statistical inference was planned for safety. (CSR p. 36.)</w:t>
          </w:r>
        </w:p>
      </w:sdtContent>
    </w:sdt>
    <w:p>
      <w:pPr>
        <w:pStyle w:val="Subheadinglvl2Working"/>
        <w:rPr/>
      </w:pPr>
      <w:r>
        <w:rPr/>
        <w:t>Subgroup Analyses</w:t>
      </w:r>
    </w:p>
    <w:p>
      <w:pPr>
        <w:pStyle w:val="InstructionsWorking"/>
        <w:numPr>
          <w:ilvl w:val="0"/>
          <w:numId w:val="0"/>
        </w:numPr>
        <w:ind w:hanging="0" w:start="0"/>
        <w:rPr/>
      </w:pPr>
      <w:sdt>
        <w:sdtPr>
          <w:alias w:val="Systematic review — subgroup analyses"/>
          <w:id w:val="1484745767"/>
        </w:sdtPr>
        <w:sdtContent>
          <w:r>
            <w:rPr>
              <w:rFonts w:ascii="Arial" w:hAnsi="Arial" w:cs="Arial"/>
              <w:sz w:val="20"/>
              <w:color w:val="000000"/>
            </w:rPr>
            <w:t xml:space="preserve">No efficacy subgroup effect estimates or subgroup interaction tests are reported in the supplied CSR. The DEXA sub-study was a prespecified subset, with 140 participants (95 semaglutide; 45 placebo), not an efficacy interaction analysis. (CSR pp. 35, 72, 84-85.)</w:t>
          </w:r>
        </w:sdtContent>
      </w:sdt>
    </w:p>
    <w:p>
      <w:pPr>
        <w:pStyle w:val="Subheadinglvl2Working"/>
        <w:rPr/>
      </w:pPr>
      <w:r>
        <w:rPr/>
        <w:t>Analysis populations</w:t>
      </w:r>
    </w:p>
    <w:p>
      <w:pPr>
        <w:pStyle w:val="InstructionsWorking"/>
        <w:numPr>
          <w:ilvl w:val="0"/>
          <w:numId w:val="0"/>
        </w:numPr>
        <w:ind w:hanging="0" w:start="0"/>
        <w:rPr>
          <w:sz w:val="20"/>
          <w:szCs w:val="20"/>
        </w:rPr>
      </w:pPr>
      <w:sdt>
        <w:sdtPr>
          <w:alias w:val="Systematic review — analysis populations"/>
          <w:id w:val="61317614"/>
        </w:sdtPr>
        <w:sdtContent>
          <w:r>
            <w:rPr>
              <w:rFonts w:ascii="Arial" w:hAnsi="Arial"/>
              <w:sz w:val="20"/>
              <w:color w:val="000000"/>
            </w:rPr>
            <w:t xml:space="preserve">FAS: all randomized participants, evaluated as randomized under the intention-to-treat principle. SAS: all randomized participants exposed to ≥1 randomized dose, evaluated as treated. DXA: the FAS subset with an acceptable-quality baseline DEXA scan. (CSR p. 58.) FAS and SAS each contained 1,961 participants (semaglutide 1,306; placebo 655); DXA contained 140 (95; 45). A separate per-protocol set is not defined. (CSR pp. 58, 65, 72.) In-trial observations ran from randomization to last contact; on-treatment periods included 2 weeks for efficacy/selected safety measures or 7 weeks for AEs/adjudicated events after last administration, excluding specified treatment interruptions. (CSR pp. 58-59.)</w:t>
          </w:r>
        </w:sdtContent>
      </w:sdt>
      <w:r>
        <w:rPr>
          <w:sz w:val="20"/>
          <w:szCs w:val="20"/>
        </w:rPr>
        <w:t xml:space="preserve"> </w:t>
      </w:r>
    </w:p>
    <w:p>
      <w:pPr>
        <w:pStyle w:val="TableTitleCADTH"/>
        <w:pageBreakBefore/>
        <w:rPr/>
      </w:pPr>
      <w:r>
        <w:rPr>
          <w:rFonts w:cs="Arial"/>
          <w:color w:val="auto"/>
          <w:sz w:val="20"/>
          <w:szCs w:val="20"/>
        </w:rPr>
        <w:t xml:space="preserve">Table </w:t>
      </w:r>
      <w:sdt>
        <w:sdtPr>
          <w:alias w:val="Analysis populations table — number"/>
          <w:id w:val="463215069"/>
        </w:sdtPr>
        <w:sdtContent>
          <w:r>
            <w:rPr>
              <w:rFonts w:ascii="Arial" w:hAnsi="Arial" w:cs="Arial"/>
              <w:sz w:val="20"/>
              <w:color w:val="000000"/>
            </w:rPr>
            <w:t xml:space="preserve">9</w:t>
          </w:r>
        </w:sdtContent>
      </w:sdt>
      <w:r>
        <w:rPr>
          <w:rFonts w:cs="Arial"/>
          <w:color w:val="auto"/>
          <w:sz w:val="20"/>
          <w:szCs w:val="20"/>
        </w:rPr>
        <w:t>:</w:t>
      </w:r>
      <w:r>
        <w:rPr>
          <w:rFonts w:cs="Arial"/>
          <w:b w:val="false"/>
          <w:bCs/>
          <w:color w:val="auto"/>
          <w:sz w:val="20"/>
          <w:szCs w:val="20"/>
        </w:rPr>
        <w:t xml:space="preserve"> </w:t>
      </w:r>
      <w:r>
        <w:rPr>
          <w:color w:val="auto"/>
          <w:sz w:val="20"/>
          <w:szCs w:val="20"/>
        </w:rPr>
        <w:t>Analysis Populations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1228"/>
        <w:gridCol w:w="2213"/>
        <w:gridCol w:w="4302"/>
        <w:gridCol w:w="2795"/>
      </w:tblGrid>
      <w:tr>
        <w:trPr>
          <w:tblHeader/>
          <w:cantSplit/>
        </w:trPr>
        <w:tc>
          <w:tcPr>
            <w:tcW w:w="1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keepNext/>
              <w:spacing w:before="20" w:after="20"/>
              <w:jc w:val="start"/>
              <w:rPr>
                <w:color w:themeColor="text1" w:themeTint="f2" w:val="0D0D0D"/>
                <w:szCs w:val="18"/>
              </w:rPr>
            </w:pPr>
            <w:r>
              <w:rPr>
                <w:color w:themeColor="text1" w:themeTint="f2" w:val="0D0D0D"/>
                <w:szCs w:val="18"/>
              </w:rPr>
              <w:t>Study</w:t>
            </w:r>
          </w:p>
        </w:tc>
        <w:tc>
          <w:tcPr>
            <w:tcW w:w="221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keepNext/>
              <w:spacing w:before="20" w:after="20"/>
              <w:jc w:val="start"/>
              <w:rPr>
                <w:color w:themeColor="text1" w:themeTint="f2" w:val="0D0D0D"/>
                <w:szCs w:val="18"/>
              </w:rPr>
            </w:pPr>
            <w:r>
              <w:rPr>
                <w:color w:themeColor="text1" w:themeTint="f2" w:val="0D0D0D"/>
                <w:szCs w:val="18"/>
              </w:rPr>
              <w:t>Population</w:t>
            </w:r>
          </w:p>
        </w:tc>
        <w:tc>
          <w:tcPr>
            <w:tcW w:w="4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keepNext/>
              <w:spacing w:before="20" w:after="20"/>
              <w:jc w:val="start"/>
              <w:rPr>
                <w:color w:themeColor="text1" w:themeTint="f2" w:val="0D0D0D"/>
                <w:szCs w:val="18"/>
              </w:rPr>
            </w:pPr>
            <w:r>
              <w:rPr>
                <w:color w:themeColor="text1" w:themeTint="f2" w:val="0D0D0D"/>
                <w:szCs w:val="18"/>
              </w:rPr>
              <w:t xml:space="preserve">Definition  </w:t>
            </w:r>
          </w:p>
        </w:tc>
        <w:tc>
          <w:tcPr>
            <w:tcW w:w="279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keepNext/>
              <w:spacing w:before="20" w:after="20"/>
              <w:jc w:val="start"/>
              <w:rPr>
                <w:color w:themeColor="text1" w:themeTint="f2" w:val="0D0D0D"/>
                <w:szCs w:val="18"/>
              </w:rPr>
            </w:pPr>
            <w:r>
              <w:rPr>
                <w:color w:themeColor="text1" w:themeTint="f2" w:val="0D0D0D"/>
                <w:szCs w:val="18"/>
              </w:rPr>
              <w:t xml:space="preserve">Application </w:t>
            </w:r>
          </w:p>
        </w:tc>
      </w:tr>
      <w:tr>
        <w:trPr>
          <w:cantSplit/>
        </w:trPr>
        <w:tc>
          <w:tcPr>
            <w:tcW w:w="1227" w:type="dxa"/>
            <w:vMerge w:val="restart"/>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color w:val="C00000"/>
              </w:rPr>
            </w:pPr>
            <w:r>
              <w:rPr>
                <w:color w:val="C00000"/>
              </w:rPr>
              <w:t>Study 1</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full analysis set"/>
                <w:id w:val="804780957"/>
              </w:sdtPr>
              <w:sdtContent>
                <w:r>
                  <w:rPr>
                    <w:rFonts w:ascii="Arial" w:hAnsi="Arial"/>
                    <w:sz w:val="18"/>
                    <w:color w:val="000000"/>
                  </w:rPr>
                  <w:t xml:space="preserve">Full analysis set (FAS). (CSR p. 58.)</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full analysis set definition"/>
                <w:id w:val="595102914"/>
              </w:sdtPr>
              <w:sdtContent>
                <w:r>
                  <w:rPr>
                    <w:rFonts w:ascii="Arial" w:hAnsi="Arial"/>
                    <w:sz w:val="18"/>
                    <w:color w:val="000000"/>
                  </w:rPr>
                  <w:t xml:space="preserve">All randomized participants; analysed as randomized (intention to treat). N = 1,961: semaglutide 1,306; placebo 655. (CSR pp. 58, 65.)</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keepNext/>
              <w:rPr/>
            </w:pPr>
            <w:sdt>
              <w:sdtPr>
                <w:alias w:val="Analysis populations — Study 1 full analysis set application"/>
                <w:id w:val="20935121"/>
              </w:sdtPr>
              <w:sdtContent>
                <w:r>
                  <w:rPr>
                    <w:rFonts w:ascii="Arial" w:hAnsi="Arial"/>
                    <w:sz w:val="18"/>
                    <w:color w:val="000000"/>
                  </w:rPr>
                  <w:t xml:space="preserve">Efficacy analyses, including treatment-policy estimates and observed efficacy summaries. (CSR pp. 58, 87, 93.)</w:t>
                </w:r>
              </w:sdtContent>
            </w:sdt>
          </w:p>
        </w:tc>
      </w:tr>
      <w:tr>
        <w:trPr>
          <w:cantSplit/>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safety analysis set"/>
                <w:id w:val="1188062953"/>
              </w:sdtPr>
              <w:sdtContent>
                <w:r>
                  <w:rPr>
                    <w:rFonts w:ascii="Arial" w:hAnsi="Arial"/>
                    <w:sz w:val="18"/>
                    <w:color w:val="000000"/>
                  </w:rPr>
                  <w:t xml:space="preserve">Safety analysis set (SAS). (CSR p. 58.)</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safety analysis set definition"/>
                <w:id w:val="157934274"/>
              </w:sdtPr>
              <w:sdtContent>
                <w:r>
                  <w:rPr>
                    <w:rFonts w:ascii="Arial" w:hAnsi="Arial"/>
                    <w:sz w:val="18"/>
                    <w:color w:val="000000"/>
                  </w:rPr>
                  <w:t xml:space="preserve">All randomized participants exposed to ≥1 dose; analysed as treated. N = 1,961: semaglutide 1,306; placebo 655. (CSR pp. 58, 65.)</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keepNext/>
              <w:rPr/>
            </w:pPr>
            <w:sdt>
              <w:sdtPr>
                <w:alias w:val="Analysis populations — Study 1 safety analysis set application"/>
                <w:id w:val="2139934214"/>
              </w:sdtPr>
              <w:sdtContent>
                <w:r>
                  <w:rPr>
                    <w:rFonts w:ascii="Arial" w:hAnsi="Arial"/>
                    <w:sz w:val="18"/>
                    <w:color w:val="000000"/>
                  </w:rPr>
                  <w:t xml:space="preserve">Safety evaluation; observation periods depended on the safety outcome. (CSR pp. 58, 128.)</w:t>
                </w:r>
              </w:sdtContent>
            </w:sdt>
          </w:p>
        </w:tc>
      </w:tr>
      <w:tr>
        <w:trPr>
          <w:cantSplit/>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additional populations"/>
                <w:id w:val="1011405707"/>
              </w:sdtPr>
              <w:sdtContent>
                <w:r>
                  <w:rPr>
                    <w:rFonts w:ascii="Arial" w:hAnsi="Arial"/>
                    <w:sz w:val="18"/>
                    <w:color w:val="000000"/>
                  </w:rPr>
                  <w:t xml:space="preserve">DEXA analysis set (DXA). (CSR p. 58.)</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1 additional population definitions"/>
                <w:id w:val="946264035"/>
              </w:sdtPr>
              <w:sdtContent>
                <w:r>
                  <w:rPr>
                    <w:rFonts w:ascii="Arial" w:hAnsi="Arial"/>
                    <w:sz w:val="18"/>
                    <w:color w:val="000000"/>
                  </w:rPr>
                  <w:t xml:space="preserve">FAS subset with a baseline DEXA scan of acceptable quality. N = 140: semaglutide 95; placebo 45. (CSR pp. 58, 72.)</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keepNext/>
              <w:rPr/>
            </w:pPr>
            <w:sdt>
              <w:sdtPr>
                <w:alias w:val="Analysis populations — Study 1 additional population applications"/>
                <w:id w:val="888751945"/>
              </w:sdtPr>
              <w:sdtContent>
                <w:r>
                  <w:rPr>
                    <w:rFonts w:ascii="Arial" w:hAnsi="Arial"/>
                    <w:sz w:val="18"/>
                    <w:color w:val="000000"/>
                  </w:rPr>
                  <w:t xml:space="preserve">Body-composition analyses in the prespecified DEXA sub-study. (CSR pp. 35, 58, 84-85.)</w:t>
                </w:r>
              </w:sdtContent>
            </w:sdt>
          </w:p>
        </w:tc>
      </w:tr>
      <w:tr>
        <w:trPr>
          <w:cantSplit/>
        </w:trPr>
        <w:tc>
          <w:tcPr>
            <w:tcW w:w="122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color w:val="C00000"/>
              </w:rPr>
            </w:pPr>
            <w:r>
              <w:rPr>
                <w:color w:val="C00000"/>
              </w:rPr>
              <w:t>Study 2</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2 populations"/>
                <w:id w:val="1360195625"/>
              </w:sdtPr>
              <w:sdtContent>
                <w:r>
                  <w:rPr>
                    <w:rFonts w:ascii="Arial" w:hAnsi="Arial" w:cs="Arial"/>
                    <w:sz w:val="18"/>
                    <w:color w:val="000000"/>
                  </w:rPr>
                  <w:t xml:space="preserve">Second study not reported. (CSR pp. 1, 32.)</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keepNext/>
              <w:rPr/>
            </w:pPr>
            <w:sdt>
              <w:sdtPr>
                <w:alias w:val="Analysis populations — Study 2 population definitions"/>
                <w:id w:val="1729002899"/>
              </w:sdtPr>
              <w:sdtContent>
                <w:r>
                  <w:rPr>
                    <w:rFonts w:ascii="Arial" w:hAnsi="Arial" w:cs="Arial"/>
                    <w:sz w:val="18"/>
                    <w:color w:val="000000"/>
                  </w:rPr>
                  <w:t xml:space="preserve">Second study not reported. (CSR pp. 1, 32.)</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keepNext/>
              <w:rPr/>
            </w:pPr>
            <w:sdt>
              <w:sdtPr>
                <w:alias w:val="Analysis populations — Study 2 population applications"/>
                <w:id w:val="1469609859"/>
              </w:sdtPr>
              <w:sdtContent>
                <w:r>
                  <w:rPr>
                    <w:rFonts w:ascii="Arial" w:hAnsi="Arial" w:cs="Arial"/>
                    <w:sz w:val="18"/>
                    <w:color w:val="000000"/>
                  </w:rPr>
                  <w:t xml:space="preserve">Second study not reported. (CSR pp. 1, 32.)</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74" w:name="_Toc93475835"/>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75" w:name="_Toc216182105"/>
      <w:bookmarkStart w:id="76" w:name="__RefHeading___Toc6230_3477833118"/>
      <w:bookmarkEnd w:id="76"/>
      <w:r>
        <w:rPr/>
        <w:t>Patient Population</w:t>
      </w:r>
      <w:bookmarkEnd w:id="75"/>
      <w:bookmarkEnd w:id="74"/>
    </w:p>
    <w:p>
      <w:pPr>
        <w:pStyle w:val="Subheadinglvl1Working"/>
        <w:rPr/>
      </w:pPr>
      <w:r>
        <w:rPr/>
        <w:t>Baseline characteristics</w:t>
      </w:r>
    </w:p>
    <w:p>
      <w:pPr>
        <w:pStyle w:val="InstructionsWorking"/>
        <w:numPr>
          <w:ilvl w:val="0"/>
          <w:numId w:val="0"/>
        </w:numPr>
        <w:ind w:hanging="0" w:start="0"/>
        <w:rPr>
          <w:sz w:val="20"/>
          <w:szCs w:val="20"/>
        </w:rPr>
      </w:pPr>
      <w:r>
        <w:rPr>
          <w:sz w:val="20"/>
          <w:szCs w:val="20"/>
        </w:rPr>
        <w:t>Summarize relevant baseline demographic and clinical characteristics of the population for each study using a table (example table below). Indicate in the table which analysis set the baseline characteristics have been summarized for (e.g., FAS set)</w:t>
      </w:r>
    </w:p>
    <w:p>
      <w:pPr>
        <w:pStyle w:val="InstructionsWorking"/>
        <w:numPr>
          <w:ilvl w:val="0"/>
          <w:numId w:val="18"/>
        </w:numPr>
        <w:rPr>
          <w:sz w:val="20"/>
          <w:szCs w:val="20"/>
        </w:rPr>
      </w:pPr>
      <w:r>
        <w:rPr>
          <w:sz w:val="20"/>
          <w:szCs w:val="20"/>
        </w:rPr>
        <w:t>for discrete data please report as n (%)</w:t>
      </w:r>
    </w:p>
    <w:p>
      <w:pPr>
        <w:pStyle w:val="InstructionsWorking"/>
        <w:numPr>
          <w:ilvl w:val="0"/>
          <w:numId w:val="18"/>
        </w:numPr>
        <w:rPr>
          <w:sz w:val="20"/>
          <w:szCs w:val="20"/>
        </w:rPr>
      </w:pPr>
      <w:r>
        <w:rPr>
          <w:sz w:val="20"/>
          <w:szCs w:val="20"/>
        </w:rPr>
        <w:t>for continuous data please report the mean (SD); where continuous data are skewed also report the median (IQR or range)</w:t>
      </w:r>
    </w:p>
    <w:p>
      <w:pPr>
        <w:pStyle w:val="InstructionsWorking"/>
        <w:numPr>
          <w:ilvl w:val="0"/>
          <w:numId w:val="0"/>
        </w:numPr>
        <w:ind w:hanging="0" w:start="0"/>
        <w:rPr>
          <w:sz w:val="20"/>
          <w:szCs w:val="20"/>
        </w:rPr>
      </w:pPr>
      <w:r>
        <w:rPr>
          <w:sz w:val="20"/>
          <w:szCs w:val="20"/>
        </w:rPr>
        <w:t>More than one table can be created if all studies do not fit in a single table.</w:t>
      </w:r>
    </w:p>
    <w:p>
      <w:pPr>
        <w:pStyle w:val="TableTitleCADTH"/>
        <w:spacing w:before="240" w:after="0"/>
        <w:rPr/>
      </w:pPr>
      <w:bookmarkStart w:id="77" w:name="_Ref287000195"/>
      <w:bookmarkStart w:id="78" w:name="_Toc13042127"/>
      <w:bookmarkStart w:id="79" w:name="_Toc436038481"/>
      <w:bookmarkStart w:id="80" w:name="_Toc93475816"/>
      <w:r>
        <w:rPr>
          <w:rFonts w:cs="Arial"/>
          <w:color w:val="auto"/>
          <w:sz w:val="20"/>
          <w:szCs w:val="20"/>
        </w:rPr>
        <w:t xml:space="preserve">Table </w:t>
      </w:r>
      <w:sdt>
        <w:sdtPr>
          <w:alias w:val="Baseline characteristics table — number"/>
          <w:id w:val="1326250245"/>
        </w:sdtPr>
        <w:sdtContent>
          <w:r>
            <w:rPr>
              <w:rFonts w:ascii="Arial" w:hAnsi="Arial" w:cs="Arial"/>
              <w:sz w:val="20"/>
              <w:color w:val="000000"/>
            </w:rPr>
            <w:t xml:space="preserve">10</w:t>
          </w:r>
        </w:sdtContent>
      </w:sdt>
      <w:r>
        <w:rPr>
          <w:rFonts w:cs="Arial"/>
          <w:color w:val="auto"/>
          <w:sz w:val="20"/>
          <w:szCs w:val="20"/>
        </w:rPr>
        <w:t>:</w:t>
      </w:r>
      <w:r>
        <w:rPr>
          <w:rFonts w:cs="Arial"/>
          <w:b w:val="false"/>
          <w:bCs/>
          <w:color w:val="auto"/>
          <w:sz w:val="20"/>
          <w:szCs w:val="20"/>
        </w:rPr>
        <w:t xml:space="preserve"> </w:t>
      </w:r>
      <w:r>
        <w:rPr>
          <w:color w:val="auto"/>
          <w:sz w:val="20"/>
          <w:szCs w:val="20"/>
        </w:rPr>
        <w:t>Summary of Baseline Characteristics of Study 1 and Study 2</w:t>
      </w:r>
      <w:bookmarkEnd w:id="80"/>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cantSplit/>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cantSplit/>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Baseline characteristics — Study 1 treatment 1"/>
                <w:id w:val="102045275"/>
              </w:sdtPr>
              <w:sdtContent>
                <w:r>
                  <w:rPr>
                    <w:rFonts w:ascii="Arial" w:hAnsi="Arial" w:cs="Arial"/>
                    <w:sz w:val="18"/>
                    <w:color w:val="000000"/>
                  </w:rPr>
                  <w:t xml:space="preserve">Semaglutide 2.4 mg (CSR p. 65.)</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 = </w:t>
            </w:r>
            <w:sdt>
              <w:sdtPr>
                <w:alias w:val="Baseline characteristics — Study 1 treatment 1 sample size"/>
                <w:id w:val="1512625313"/>
              </w:sdtPr>
              <w:sdtContent>
                <w:r>
                  <w:rPr>
                    <w:rFonts w:ascii="Arial" w:hAnsi="Arial"/>
                    <w:sz w:val="18"/>
                    <w:color w:val="000000"/>
                  </w:rPr>
                  <w:t xml:space="preserve">1,306 (FAS; CSR pp. 65, 69-70.)</w:t>
                </w:r>
              </w:sdtContent>
            </w:sdt>
            <w:r>
              <w:rPr>
                <w:rFonts w:eastAsia="MS Mincho"/>
                <w:bCs/>
                <w:color w:themeColor="text1" w:themeTint="f2" w:val="0D0D0D"/>
                <w:szCs w:val="18"/>
              </w:rPr>
              <w:t> )</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Baseline characteristics — Study 1 treatment 2"/>
                <w:id w:val="1591733779"/>
              </w:sdtPr>
              <w:sdtContent>
                <w:r>
                  <w:rPr>
                    <w:rFonts w:ascii="Arial" w:hAnsi="Arial" w:cs="Arial"/>
                    <w:sz w:val="18"/>
                    <w:color w:val="000000"/>
                  </w:rPr>
                  <w:t xml:space="preserve">Placebo (CSR p. 65.)</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 = </w:t>
            </w:r>
            <w:sdt>
              <w:sdtPr>
                <w:alias w:val="Baseline characteristics — Study 1 treatment 2 sample size"/>
                <w:id w:val="1736481156"/>
              </w:sdtPr>
              <w:sdtContent>
                <w:r>
                  <w:rPr>
                    <w:rFonts w:ascii="Arial" w:hAnsi="Arial"/>
                    <w:sz w:val="18"/>
                    <w:color w:val="000000"/>
                  </w:rPr>
                  <w:t xml:space="preserve">655 (FAS; CSR pp. 65, 69-70.)</w:t>
                </w:r>
              </w:sdtContent>
            </w:sdt>
            <w:r>
              <w:rPr>
                <w:rFonts w:eastAsia="MS Mincho"/>
                <w:bCs/>
                <w:color w:themeColor="text1" w:themeTint="f2" w:val="0D0D0D"/>
                <w:szCs w:val="18"/>
              </w:rPr>
              <w:t> )</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Baseline characteristics — Study 2 treatment 1"/>
                <w:id w:val="193741279"/>
              </w:sdtPr>
              <w:sdtContent>
                <w:r>
                  <w:rPr>
                    <w:rFonts w:ascii="Arial" w:hAnsi="Arial" w:cs="Arial"/>
                    <w:sz w:val="18"/>
                    <w:color w:val="000000"/>
                  </w:rPr>
                  <w:t xml:space="preserve">Second study not reported. (CSR pp. 1, 32.)</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 = </w:t>
            </w:r>
            <w:sdt>
              <w:sdtPr>
                <w:alias w:val="Baseline characteristics — Study 2 treatment 1 sample size"/>
                <w:id w:val="111637051"/>
              </w:sdtPr>
              <w:sdtContent>
                <w:r>
                  <w:rPr>
                    <w:rFonts w:ascii="Arial" w:hAnsi="Arial" w:cs="Arial"/>
                    <w:sz w:val="18"/>
                    <w:color w:val="000000"/>
                  </w:rPr>
                  <w:t xml:space="preserve">Second study not reported. (CSR pp. 1, 32.)</w:t>
                </w:r>
              </w:sdtContent>
            </w:sdt>
            <w:r>
              <w:rPr>
                <w:rFonts w:eastAsia="MS Mincho"/>
                <w:bCs/>
                <w:color w:themeColor="text1" w:themeTint="f2" w:val="0D0D0D"/>
                <w:szCs w:val="18"/>
              </w:rPr>
              <w:t> )</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sdt>
              <w:sdtPr>
                <w:alias w:val="Baseline characteristics — Study 2 treatment 2"/>
                <w:id w:val="631428389"/>
              </w:sdtPr>
              <w:sdtContent>
                <w:r>
                  <w:rPr>
                    <w:rFonts w:ascii="Arial" w:hAnsi="Arial" w:cs="Arial"/>
                    <w:sz w:val="18"/>
                    <w:color w:val="000000"/>
                  </w:rPr>
                  <w:t xml:space="preserve">Second study not reported. (CSR pp. 1, 32.)</w:t>
                </w:r>
              </w:sdtContent>
            </w:sdt>
          </w:p>
          <w:p>
            <w:pPr>
              <w:pStyle w:val="TableHeadingCenteredCADTH"/>
              <w:spacing w:before="20" w:after="20"/>
              <w:rPr>
                <w:color w:themeColor="text1" w:themeTint="f2" w:val="0D0D0D"/>
              </w:rPr>
            </w:pPr>
            <w:r>
              <w:rPr>
                <w:color w:themeColor="text1" w:themeTint="f2" w:val="0D0D0D"/>
              </w:rPr>
              <w:t>(N =</w:t>
            </w:r>
            <w:sdt>
              <w:sdtPr>
                <w:alias w:val="Baseline characteristics — Study 2 treatment 2 sample size"/>
                <w:id w:val="1625834215"/>
              </w:sdtPr>
              <w:sdtContent>
                <w:r>
                  <w:rPr>
                    <w:rFonts w:ascii="Arial" w:hAnsi="Arial" w:cs="Arial"/>
                    <w:sz w:val="18"/>
                    <w:color w:val="000000"/>
                  </w:rPr>
                  <w:t xml:space="preserve">Second study not reported. (CSR pp. 1, 32.)</w:t>
                </w:r>
              </w:sdtContent>
            </w:sdt>
            <w:r>
              <w:rPr>
                <w:color w:themeColor="text1" w:themeTint="f2" w:val="0D0D0D"/>
              </w:rPr>
              <w:t xml:space="preserve">) </w:t>
            </w:r>
          </w:p>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1 characteristic"/>
              <w:id w:val="2073310631"/>
            </w:sdtPr>
            <w:sdtContent>
              <w:p>
                <w:pPr>
                  <w:pStyle w:val="BodyCopyWorking"/>
                </w:pPr>
                <w:r>
                  <w:rPr>
                    <w:rFonts w:ascii="Arial" w:hAnsi="Arial" w:cs="Arial"/>
                    <w:sz w:val="18"/>
                    <w:color w:val="000000"/>
                  </w:rPr>
                  <w:t xml:space="preserve">Age (years), mean (SD); median [range] (CSR p. 70, Table 10-3.)</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1 result"/>
              <w:id w:val="1668943772"/>
            </w:sdtPr>
            <w:sdtContent>
              <w:p>
                <w:pPr>
                  <w:pStyle w:val="BodyCopyWorking"/>
                </w:pPr>
                <w:r>
                  <w:rPr>
                    <w:rFonts w:ascii="Arial" w:hAnsi="Arial" w:cs="Arial"/>
                    <w:sz w:val="18"/>
                    <w:color w:val="000000"/>
                  </w:rPr>
                  <w:t xml:space="preserve">46 (13); 46 [18-86] (CSR p. 70, Table 10-3.)</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2 result"/>
              <w:id w:val="1380477065"/>
            </w:sdtPr>
            <w:sdtContent>
              <w:p>
                <w:pPr>
                  <w:pStyle w:val="BodyCopyWorking"/>
                </w:pPr>
                <w:r>
                  <w:rPr>
                    <w:rFonts w:ascii="Arial" w:hAnsi="Arial" w:cs="Arial"/>
                    <w:sz w:val="18"/>
                    <w:color w:val="000000"/>
                  </w:rPr>
                  <w:t xml:space="preserve">47 (12); 48 [18-82] (CSR p. 70, Table 10-3.)</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1 result"/>
              <w:id w:val="985240144"/>
            </w:sdtPr>
            <w:sdtContent>
              <w:p>
                <w:pPr>
                  <w:pStyle w:val="BodyCopyWorking"/>
                </w:pPr>
                <w:r>
                  <w:rPr>
                    <w:rFonts w:ascii="Arial" w:hAnsi="Arial" w:cs="Arial"/>
                    <w:sz w:val="18"/>
                    <w:color w:val="000000"/>
                  </w:rPr>
                  <w:t xml:space="preserve">Second study not reported. (CSR pp. 1, 32.)</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2 result"/>
              <w:id w:val="1015840200"/>
            </w:sdtPr>
            <w:sdtContent>
              <w:p>
                <w:pPr>
                  <w:pStyle w:val="BodyCopyWorking"/>
                </w:pPr>
                <w:r>
                  <w:rPr>
                    <w:rFonts w:ascii="Arial" w:hAnsi="Arial" w:cs="Arial"/>
                    <w:sz w:val="18"/>
                    <w:color w:val="000000"/>
                  </w:rPr>
                  <w:t xml:space="preserve">Second study not reported. (CSR pp. 1, 32.)</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2 characteristic"/>
              <w:id w:val="117772731"/>
            </w:sdtPr>
            <w:sdtContent>
              <w:p>
                <w:pPr>
                  <w:pStyle w:val="BodyCopyWorking"/>
                </w:pPr>
                <w:r>
                  <w:rPr>
                    <w:rFonts w:ascii="Arial" w:hAnsi="Arial" w:cs="Arial"/>
                    <w:sz w:val="18"/>
                    <w:color w:val="000000"/>
                  </w:rPr>
                  <w:t xml:space="preserve">Weight (kg), mean (SD); median [range] (CSR p. 70, Table 10-3.)</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1 result"/>
              <w:id w:val="2081112730"/>
            </w:sdtPr>
            <w:sdtContent>
              <w:p>
                <w:pPr>
                  <w:pStyle w:val="BodyCopyWorking"/>
                </w:pPr>
                <w:r>
                  <w:rPr>
                    <w:rFonts w:ascii="Arial" w:hAnsi="Arial" w:cs="Arial"/>
                    <w:sz w:val="18"/>
                    <w:color w:val="000000"/>
                  </w:rPr>
                  <w:t xml:space="preserve">105.4 (22.1); 102.1 [61.8-245.6] (CSR p. 70, Table 10-3.)</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2 result"/>
              <w:id w:val="1407604333"/>
            </w:sdtPr>
            <w:sdtContent>
              <w:p>
                <w:pPr>
                  <w:pStyle w:val="BodyCopyWorking"/>
                </w:pPr>
                <w:r>
                  <w:rPr>
                    <w:rFonts w:ascii="Arial" w:hAnsi="Arial" w:cs="Arial"/>
                    <w:sz w:val="18"/>
                    <w:color w:val="000000"/>
                  </w:rPr>
                  <w:t xml:space="preserve">105.2 (21.5); 101.3 [66.3-211.0] (CSR p. 70, Table 10-3.)</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1 result"/>
              <w:id w:val="95831809"/>
            </w:sdtPr>
            <w:sdtContent>
              <w:p>
                <w:pPr>
                  <w:pStyle w:val="BodyCopyWorking"/>
                </w:pPr>
                <w:r>
                  <w:rPr>
                    <w:rFonts w:ascii="Arial" w:hAnsi="Arial" w:cs="Arial"/>
                    <w:sz w:val="18"/>
                    <w:color w:val="000000"/>
                  </w:rPr>
                  <w:t xml:space="preserve">Second study not reported. (CSR pp. 1, 32.)</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2 result"/>
              <w:id w:val="438525311"/>
            </w:sdtPr>
            <w:sdtContent>
              <w:p>
                <w:pPr>
                  <w:pStyle w:val="BodyCopyWorking"/>
                </w:pPr>
                <w:r>
                  <w:rPr>
                    <w:rFonts w:ascii="Arial" w:hAnsi="Arial" w:cs="Arial"/>
                    <w:sz w:val="18"/>
                    <w:color w:val="000000"/>
                  </w:rPr>
                  <w:t xml:space="preserve">Second study not reported. (CSR pp. 1, 32.)</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3 characteristic"/>
              <w:id w:val="1742127148"/>
            </w:sdtPr>
            <w:sdtContent>
              <w:p>
                <w:pPr>
                  <w:pStyle w:val="BodyCopyWorking"/>
                </w:pPr>
                <w:r>
                  <w:rPr>
                    <w:rFonts w:ascii="Arial" w:hAnsi="Arial"/>
                    <w:sz w:val="18"/>
                    <w:color w:val="000000"/>
                  </w:rPr>
                  <w:t xml:space="preserve">BMI (kg/m²), mean (SD); median [range]; female sex, n (%); White race, n (%); waist (cm), mean (SD); HbA1c (%), mean (SD). (CSR pp. 69-70.)</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1 result"/>
              <w:id w:val="1933230921"/>
            </w:sdtPr>
            <w:sdtContent>
              <w:p>
                <w:pPr>
                  <w:pStyle w:val="BodyCopyWorking"/>
                </w:pPr>
                <w:r>
                  <w:rPr>
                    <w:rFonts w:ascii="Arial" w:hAnsi="Arial"/>
                    <w:sz w:val="18"/>
                    <w:color w:val="000000"/>
                  </w:rPr>
                  <w:t xml:space="preserve">BMI: 37.8 (6.7); 36.7 [26.5-83.0]. Female: 955 (73.1%). White: 973 (74.5%). Waist: 114.6 (14.8). HbA1c: 5.7 (0.3). (CSR pp. 69-70.)</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2 result"/>
              <w:id w:val="1975591537"/>
            </w:sdtPr>
            <w:sdtContent>
              <w:p>
                <w:pPr>
                  <w:pStyle w:val="BodyCopyWorking"/>
                </w:pPr>
                <w:r>
                  <w:rPr>
                    <w:rFonts w:ascii="Arial" w:hAnsi="Arial"/>
                    <w:sz w:val="18"/>
                    <w:color w:val="000000"/>
                  </w:rPr>
                  <w:t xml:space="preserve">BMI: 38.0 (6.5); 36.5 [27.5-67.0]. Female: 498 (76.0%). White: 499 (76.2%). Waist: 114.8 (14.4). HbA1c: 5.7 (0.3). (CSR pp. 69-70.)</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1 result"/>
              <w:id w:val="1312395020"/>
            </w:sdtPr>
            <w:sdtContent>
              <w:p>
                <w:pPr>
                  <w:pStyle w:val="BodyCopyWorking"/>
                </w:pPr>
                <w:r>
                  <w:rPr>
                    <w:rFonts w:ascii="Arial" w:hAnsi="Arial" w:cs="Arial"/>
                    <w:sz w:val="18"/>
                    <w:color w:val="000000"/>
                  </w:rPr>
                  <w:t xml:space="preserve">Second study not reported. (CSR pp. 1, 32.)</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2 result"/>
              <w:id w:val="285434924"/>
            </w:sdtPr>
            <w:sdtContent>
              <w:p>
                <w:pPr>
                  <w:pStyle w:val="BodyCopyWorking"/>
                </w:pPr>
                <w:r>
                  <w:rPr>
                    <w:rFonts w:ascii="Arial" w:hAnsi="Arial" w:cs="Arial"/>
                    <w:sz w:val="18"/>
                    <w:color w:val="000000"/>
                  </w:rPr>
                  <w:t xml:space="preserve">Second study not reported. (CSR pp. 1, 32.)</w:t>
                </w:r>
              </w:p>
            </w:sdtContent>
          </w:sdt>
        </w:tc>
      </w:tr>
    </w:tbl>
    <w:p>
      <w:pPr>
        <w:pStyle w:val="TableFooterCADTH"/>
        <w:rPr>
          <w:color w:val="C00000"/>
        </w:rPr>
      </w:pPr>
      <w:bookmarkEnd w:id="78"/>
      <w:bookmarkEnd w:id="79"/>
      <w:r>
        <w:rPr>
          <w:color w:val="C00000"/>
        </w:rPr>
        <w:tab/>
      </w:r>
      <w:bookmarkStart w:id="81" w:name="_Toc436038452"/>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color w:val="C00000"/>
        </w:rPr>
      </w:pPr>
      <w:r>
        <w:rPr>
          <w:color w:val="C00000"/>
        </w:rPr>
      </w:r>
    </w:p>
    <w:p>
      <w:pPr>
        <w:pStyle w:val="Subheadinglvl1Working"/>
        <w:rPr/>
      </w:pPr>
      <w:r>
        <w:rPr/>
        <w:t>Patient Disposition</w:t>
      </w:r>
    </w:p>
    <w:p>
      <w:pPr>
        <w:pStyle w:val="InstructionsWorking"/>
        <w:numPr>
          <w:ilvl w:val="0"/>
          <w:numId w:val="0"/>
        </w:numPr>
        <w:ind w:hanging="0" w:start="0"/>
        <w:rPr/>
      </w:pPr>
      <w:r>
        <w:rPr>
          <w:sz w:val="20"/>
          <w:szCs w:val="20"/>
        </w:rPr>
        <w:t>Please summarize the patient disposition for each included study using a table.</w:t>
      </w:r>
    </w:p>
    <w:p>
      <w:pPr>
        <w:pStyle w:val="TableTitleCADTH"/>
        <w:spacing w:lineRule="auto" w:line="360" w:before="240" w:after="0"/>
        <w:rPr>
          <w:rFonts w:cs="Arial"/>
          <w:color w:themeColor="text1" w:themeTint="f2" w:val="0D0D0D"/>
          <w:sz w:val="20"/>
          <w:szCs w:val="20"/>
        </w:rPr>
      </w:pPr>
      <w:r>
        <w:rPr>
          <w:rFonts w:cs="Arial"/>
          <w:color w:themeColor="text1" w:themeTint="f2" w:val="0D0D0D"/>
          <w:sz w:val="20"/>
          <w:szCs w:val="20"/>
        </w:rPr>
        <w:t xml:space="preserve">Table </w:t>
      </w:r>
      <w:sdt>
        <w:sdtPr>
          <w:alias w:val="Patient disposition table — number"/>
          <w:id w:val="640902854"/>
        </w:sdtPr>
        <w:sdtContent>
          <w:r>
            <w:rPr>
              <w:rFonts w:ascii="Arial" w:hAnsi="Arial" w:cs="Arial"/>
              <w:sz w:val="20"/>
              <w:color w:val="000000"/>
            </w:rPr>
            <w:t xml:space="preserve">11</w:t>
          </w:r>
        </w:sdtContent>
      </w:sdt>
      <w:r>
        <w:rPr>
          <w:rFonts w:cs="Arial"/>
          <w:color w:themeColor="text1" w:themeTint="f2" w:val="0D0D0D"/>
          <w:sz w:val="20"/>
          <w:szCs w:val="20"/>
        </w:rPr>
        <w:t>: Sample Table for Patient Disposition</w:t>
      </w:r>
    </w:p>
    <w:tbl>
      <w:tblPr>
        <w:tblW w:w="49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716"/>
        <w:gridCol w:w="1622"/>
        <w:gridCol w:w="1522"/>
        <w:gridCol w:w="1804"/>
        <w:gridCol w:w="1663"/>
      </w:tblGrid>
      <w:tr>
        <w:trPr>
          <w:tblHeader/>
          <w:cantSplit/>
        </w:trPr>
        <w:tc>
          <w:tcPr>
            <w:tcW w:w="3715"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jc w:val="start"/>
              <w:rPr>
                <w:color w:themeColor="text1" w:themeTint="f2" w:val="0D0D0D"/>
              </w:rPr>
            </w:pPr>
            <w:r>
              <w:rPr>
                <w:color w:themeColor="text1" w:themeTint="f2" w:val="0D0D0D"/>
              </w:rPr>
              <w:t>Patient disposition</w:t>
            </w:r>
          </w:p>
        </w:tc>
        <w:tc>
          <w:tcPr>
            <w:tcW w:w="3145"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t>Study 1</w:t>
            </w:r>
          </w:p>
        </w:tc>
        <w:tc>
          <w:tcPr>
            <w:tcW w:w="346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t>Study 2</w:t>
            </w:r>
          </w:p>
        </w:tc>
      </w:tr>
      <w:tr>
        <w:trPr>
          <w:cantSplit/>
        </w:trPr>
        <w:tc>
          <w:tcPr>
            <w:tcW w:w="3715"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SubheadingCADTH"/>
              <w:rPr>
                <w:color w:themeColor="text1" w:themeTint="f2" w:val="0D0D0D"/>
              </w:rPr>
            </w:pPr>
            <w:r>
              <w:rPr>
                <w:color w:themeColor="text1" w:themeTint="f2" w:val="0D0D0D"/>
              </w:rPr>
            </w:r>
          </w:p>
        </w:tc>
        <w:tc>
          <w:tcPr>
            <w:tcW w:w="162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1 treatment 1"/>
                <w:id w:val="1339300399"/>
              </w:sdtPr>
              <w:sdtContent>
                <w:r>
                  <w:rPr>
                    <w:rFonts w:ascii="Arial" w:hAnsi="Arial" w:cs="Arial"/>
                    <w:sz w:val="18"/>
                    <w:color w:val="000000"/>
                  </w:rPr>
                  <w:t xml:space="preserve">Semaglutide 2.4 mg (CSR p. 65.)</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1 treatment 1 sample size"/>
                <w:id w:val="415487437"/>
              </w:sdtPr>
              <w:sdtContent>
                <w:r>
                  <w:rPr>
                    <w:rFonts w:ascii="Arial" w:hAnsi="Arial" w:cs="Arial"/>
                    <w:sz w:val="18"/>
                    <w:color w:val="000000"/>
                  </w:rPr>
                  <w:t xml:space="preserve">1,306 (CSR p. 65.)</w:t>
                </w:r>
              </w:sdtContent>
            </w:sdt>
            <w:r>
              <w:rPr>
                <w:rFonts w:eastAsia="MS Mincho"/>
                <w:bCs/>
                <w:color w:themeColor="text1" w:themeTint="f2" w:val="0D0D0D"/>
                <w:szCs w:val="18"/>
              </w:rPr>
              <w:t>)</w:t>
            </w:r>
          </w:p>
        </w:tc>
        <w:tc>
          <w:tcPr>
            <w:tcW w:w="152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1 treatment 2"/>
                <w:id w:val="1878818334"/>
              </w:sdtPr>
              <w:sdtContent>
                <w:r>
                  <w:rPr>
                    <w:rFonts w:ascii="Arial" w:hAnsi="Arial" w:cs="Arial"/>
                    <w:sz w:val="18"/>
                    <w:color w:val="000000"/>
                  </w:rPr>
                  <w:t xml:space="preserve">Placebo (CSR p. 65.)</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1 treatment 2 sample size"/>
                <w:id w:val="1387968362"/>
              </w:sdtPr>
              <w:sdtContent>
                <w:r>
                  <w:rPr>
                    <w:rFonts w:ascii="Arial" w:hAnsi="Arial" w:cs="Arial"/>
                    <w:sz w:val="18"/>
                    <w:color w:val="000000"/>
                  </w:rPr>
                  <w:t xml:space="preserve">655 (CSR p. 65.)</w:t>
                </w:r>
              </w:sdtContent>
            </w:sdt>
            <w:r>
              <w:rPr>
                <w:rFonts w:eastAsia="MS Mincho"/>
                <w:bCs/>
                <w:color w:themeColor="text1" w:themeTint="f2" w:val="0D0D0D"/>
                <w:szCs w:val="18"/>
              </w:rPr>
              <w:t>)</w:t>
            </w:r>
          </w:p>
        </w:tc>
        <w:tc>
          <w:tcPr>
            <w:tcW w:w="180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2 treatment 1"/>
                <w:id w:val="1045816823"/>
              </w:sdtPr>
              <w:sdtContent>
                <w:r>
                  <w:rPr>
                    <w:rFonts w:ascii="Arial" w:hAnsi="Arial" w:cs="Arial"/>
                    <w:sz w:val="18"/>
                    <w:color w:val="000000"/>
                  </w:rPr>
                  <w:t xml:space="preserve">Second study not reported. (CSR pp. 1, 32.)</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2 treatment 1 sample size"/>
                <w:id w:val="557652873"/>
              </w:sdtPr>
              <w:sdtContent>
                <w:r>
                  <w:rPr>
                    <w:rFonts w:ascii="Arial" w:hAnsi="Arial" w:cs="Arial"/>
                    <w:sz w:val="18"/>
                    <w:color w:val="000000"/>
                  </w:rPr>
                  <w:t xml:space="preserve">Second study not reported. (CSR pp. 1, 32.)</w:t>
                </w:r>
              </w:sdtContent>
            </w:sdt>
            <w:r>
              <w:rPr>
                <w:rFonts w:eastAsia="MS Mincho"/>
                <w:bCs/>
                <w:color w:themeColor="text1" w:themeTint="f2" w:val="0D0D0D"/>
                <w:szCs w:val="18"/>
              </w:rPr>
              <w:t>)</w:t>
            </w:r>
          </w:p>
        </w:tc>
        <w:tc>
          <w:tcPr>
            <w:tcW w:w="16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2 treatment 2"/>
                <w:id w:val="1326951429"/>
              </w:sdtPr>
              <w:sdtContent>
                <w:r>
                  <w:rPr>
                    <w:rFonts w:ascii="Arial" w:hAnsi="Arial" w:cs="Arial"/>
                    <w:sz w:val="18"/>
                    <w:color w:val="000000"/>
                  </w:rPr>
                  <w:t xml:space="preserve">Second study not reported. (CSR pp. 1, 32.)</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2 treatment 2 sample size"/>
                <w:id w:val="437025929"/>
              </w:sdtPr>
              <w:sdtContent>
                <w:r>
                  <w:rPr>
                    <w:rFonts w:ascii="Arial" w:hAnsi="Arial" w:cs="Arial"/>
                    <w:sz w:val="18"/>
                    <w:color w:val="000000"/>
                  </w:rPr>
                  <w:t xml:space="preserve">Second study not reported. (CSR pp. 1, 32.)</w:t>
                </w:r>
              </w:sdtContent>
            </w:sdt>
            <w:r>
              <w:rPr>
                <w:rFonts w:eastAsia="MS Mincho"/>
                <w:bCs/>
                <w:color w:themeColor="text1" w:themeTint="f2" w:val="0D0D0D"/>
                <w:szCs w:val="18"/>
              </w:rPr>
              <w:t xml:space="preserve">) </w:t>
            </w:r>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Screened,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1"/>
              <w:id w:val="1036332828"/>
            </w:sdtPr>
            <w:sdtContent>
              <w:p>
                <w:pPr>
                  <w:pStyle w:val="BodyCopyWorking"/>
                </w:pPr>
                <w:r>
                  <w:rPr>
                    <w:rFonts w:ascii="Arial" w:hAnsi="Arial" w:cs="Arial"/>
                    <w:sz w:val="18"/>
                    <w:color w:val="000000"/>
                  </w:rPr>
                  <w:t xml:space="preserve">2,303 overall; not assigned by arm.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2"/>
              <w:id w:val="1774335731"/>
            </w:sdtPr>
            <w:sdtContent>
              <w:p>
                <w:pPr>
                  <w:pStyle w:val="BodyCopyWorking"/>
                </w:pPr>
                <w:r>
                  <w:rPr>
                    <w:rFonts w:ascii="Arial" w:hAnsi="Arial" w:cs="Arial"/>
                    <w:sz w:val="18"/>
                    <w:color w:val="000000"/>
                  </w:rPr>
                  <w:t xml:space="preserve">2,303 overall; not assigned by arm.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1"/>
              <w:id w:val="145196444"/>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2"/>
              <w:id w:val="1063422949"/>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Reason for screening failure, </w:t>
            </w:r>
            <w:r>
              <w:rPr>
                <w:b/>
                <w:bCs/>
                <w:caps w:val="false"/>
                <w:smallCaps w:val="false"/>
                <w:sz w:val="22"/>
                <w:szCs w:val="18"/>
              </w:rPr>
              <w:t>N (%)</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305 overall; reasons below use screen-failure denominator. (CSR p"/>
                <w:id w:val="1900000024"/>
              </w:sdtPr>
              <w:sdtContent>
                <w:r>
                  <w:rPr>
                    <w:rFonts w:ascii="Arial" w:hAnsi="Arial"/>
                    <w:color w:val="000000"/>
                    <w:sz w:val="18"/>
                  </w:rPr>
                  <w:t>305 overall; reasons below use screen-failure denominator. (CSR pp. 58, 65-68.)</w:t>
                </w:r>
              </w:sdtContent>
            </w:sdt>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305 overall; not arm-specific. (CSR pp. 58, 65-68.)"/>
                <w:id w:val="1900000025"/>
              </w:sdtPr>
              <w:sdtContent>
                <w:r>
                  <w:rPr>
                    <w:rFonts w:ascii="Arial" w:hAnsi="Arial"/>
                    <w:color w:val="000000"/>
                    <w:sz w:val="18"/>
                  </w:rPr>
                  <w:t>305 overall; not arm-specific. (CSR pp. 58, 65-68.)</w:t>
                </w:r>
              </w:sdtContent>
            </w:sdt>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No second study reported. (CSR pp. 1, 32.)"/>
                <w:id w:val="1900000026"/>
              </w:sdtPr>
              <w:sdtContent>
                <w:r>
                  <w:rPr>
                    <w:rFonts w:ascii="Arial" w:hAnsi="Arial"/>
                    <w:color w:val="000000"/>
                    <w:sz w:val="18"/>
                  </w:rPr>
                  <w:t>No second study reported. (CSR pp. 1, 32.)</w:t>
                </w:r>
              </w:sdtContent>
            </w:sdt>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No second study reported. (CSR pp. 1, 32.)"/>
                <w:id w:val="1900000027"/>
              </w:sdtPr>
              <w:sdtContent>
                <w:r>
                  <w:rPr>
                    <w:rFonts w:ascii="Arial" w:hAnsi="Arial"/>
                    <w:color w:val="000000"/>
                    <w:sz w:val="18"/>
                  </w:rPr>
                  <w:t>No second study reported. (CSR pp. 1, 32.)</w:t>
                </w:r>
              </w:sdtContent>
            </w:sdt>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sdt>
              <w:sdtPr>
                <w:alias w:val="Patient disposition — screening failure reason 1"/>
                <w:id w:val="1554414865"/>
              </w:sdtPr>
              <w:sdtContent>
                <w:r>
                  <w:rPr>
                    <w:rFonts w:ascii="Arial" w:hAnsi="Arial" w:cs="Arial"/>
                    <w:sz w:val="18"/>
                    <w:color w:val="000000"/>
                  </w:rPr>
                  <w:t xml:space="preserve">Screen-failure reason (overall). (CSR p. 68.)</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1"/>
              <w:id w:val="1364844662"/>
            </w:sdtPr>
            <w:sdtContent>
              <w:p>
                <w:pPr>
                  <w:pStyle w:val="BodyCopyWorking"/>
                </w:pPr>
                <w:r>
                  <w:rPr>
                    <w:rFonts w:ascii="Arial" w:hAnsi="Arial" w:cs="Arial"/>
                    <w:sz w:val="18"/>
                    <w:color w:val="000000"/>
                  </w:rPr>
                  <w:t xml:space="preserve">HbA1c ≥6.5%: 120 (39.3%) overall.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2"/>
              <w:id w:val="48742338"/>
            </w:sdtPr>
            <w:sdtContent>
              <w:p>
                <w:pPr>
                  <w:pStyle w:val="BodyCopyWorking"/>
                </w:pPr>
                <w:r>
                  <w:rPr>
                    <w:rFonts w:ascii="Arial" w:hAnsi="Arial" w:cs="Arial"/>
                    <w:sz w:val="18"/>
                    <w:color w:val="000000"/>
                  </w:rPr>
                  <w:t xml:space="preserve">Not arm-specific.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1"/>
              <w:id w:val="1193397786"/>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2"/>
              <w:id w:val="1891649972"/>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sdt>
              <w:sdtPr>
                <w:alias w:val="Patient disposition — screening failure reason 2"/>
                <w:id w:val="1088696735"/>
              </w:sdtPr>
              <w:sdtContent>
                <w:r>
                  <w:rPr>
                    <w:rFonts w:ascii="Arial" w:hAnsi="Arial" w:cs="Arial"/>
                    <w:sz w:val="18"/>
                    <w:color w:val="000000"/>
                  </w:rPr>
                  <w:t xml:space="preserve">Screen-failure reason (overall). (CSR p. 68.)</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1"/>
              <w:id w:val="2023407013"/>
            </w:sdtPr>
            <w:sdtContent>
              <w:p>
                <w:pPr>
                  <w:pStyle w:val="BodyCopyWorking"/>
                </w:pPr>
                <w:r>
                  <w:rPr>
                    <w:rFonts w:ascii="Arial" w:hAnsi="Arial" w:cs="Arial"/>
                    <w:sz w:val="18"/>
                    <w:color w:val="000000"/>
                  </w:rPr>
                  <w:t xml:space="preserve">Thyroid criteria: 81 (26.6%) overall.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2"/>
              <w:id w:val="242298680"/>
            </w:sdtPr>
            <w:sdtContent>
              <w:p>
                <w:pPr>
                  <w:pStyle w:val="BodyCopyWorking"/>
                </w:pPr>
                <w:r>
                  <w:rPr>
                    <w:rFonts w:ascii="Arial" w:hAnsi="Arial" w:cs="Arial"/>
                    <w:sz w:val="18"/>
                    <w:color w:val="000000"/>
                  </w:rPr>
                  <w:t xml:space="preserve">Not arm-specific.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1"/>
              <w:id w:val="2140191009"/>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2"/>
              <w:id w:val="167273946"/>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Add rows as required</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Other safety/compliance: 38 (12.5%); PHQ-9 ≥15: 18 (5.9%); suicid"/>
                <w:id w:val="1900000028"/>
              </w:sdtPr>
              <w:sdtContent>
                <w:r>
                  <w:rPr>
                    <w:rFonts w:ascii="Arial" w:hAnsi="Arial"/>
                    <w:color w:val="000000"/>
                    <w:sz w:val="18"/>
                  </w:rPr>
                  <w:t>Other safety/compliance: 38 (12.5%); PHQ-9 ≥15: 18 (5.9%); suicide attempt: 8 (2.6%), overall. (CSR pp. 58, 65-68.)</w:t>
                </w:r>
              </w:sdtContent>
            </w:sdt>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Reasons can overlap; not arm-specific. (CSR pp. 58, 65-68.)"/>
                <w:id w:val="1900000029"/>
              </w:sdtPr>
              <w:sdtContent>
                <w:r>
                  <w:rPr>
                    <w:rFonts w:ascii="Arial" w:hAnsi="Arial"/>
                    <w:color w:val="000000"/>
                    <w:sz w:val="18"/>
                  </w:rPr>
                  <w:t>Reasons can overlap; not arm-specific. (CSR pp. 58, 65-68.)</w:t>
                </w:r>
              </w:sdtContent>
            </w:sdt>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No second study reported. (CSR pp. 1, 32.)"/>
                <w:id w:val="1900000030"/>
              </w:sdtPr>
              <w:sdtContent>
                <w:r>
                  <w:rPr>
                    <w:rFonts w:ascii="Arial" w:hAnsi="Arial"/>
                    <w:color w:val="000000"/>
                    <w:sz w:val="18"/>
                  </w:rPr>
                  <w:t>No second study reported. (CSR pp. 1, 32.)</w:t>
                </w:r>
              </w:sdtContent>
            </w:sdt>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No second study reported. (CSR pp. 1, 32.)"/>
                <w:id w:val="1900000031"/>
              </w:sdtPr>
              <w:sdtContent>
                <w:r>
                  <w:rPr>
                    <w:rFonts w:ascii="Arial" w:hAnsi="Arial"/>
                    <w:color w:val="000000"/>
                    <w:sz w:val="18"/>
                  </w:rPr>
                  <w:t>No second study reported. (CSR pp. 1, 32.)</w:t>
                </w:r>
              </w:sdtContent>
            </w:sdt>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1"/>
              <w:id w:val="662746415"/>
            </w:sdtPr>
            <w:sdtContent>
              <w:p>
                <w:pPr>
                  <w:pStyle w:val="BodyCopyWorking"/>
                </w:pPr>
                <w:r>
                  <w:rPr>
                    <w:rFonts w:ascii="Arial" w:hAnsi="Arial" w:cs="Arial"/>
                    <w:sz w:val="18"/>
                    <w:color w:val="000000"/>
                  </w:rPr>
                  <w:t xml:space="preserve">1,306 (100%)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2"/>
              <w:id w:val="1590703523"/>
            </w:sdtPr>
            <w:sdtContent>
              <w:p>
                <w:pPr>
                  <w:pStyle w:val="BodyCopyWorking"/>
                </w:pPr>
                <w:r>
                  <w:rPr>
                    <w:rFonts w:ascii="Arial" w:hAnsi="Arial" w:cs="Arial"/>
                    <w:sz w:val="18"/>
                    <w:color w:val="000000"/>
                  </w:rPr>
                  <w:t xml:space="preserve">655 (100%)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1"/>
              <w:id w:val="1175707022"/>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2"/>
              <w:id w:val="1147658140"/>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Discontinued from study,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1"/>
              <w:id w:val="150041753"/>
            </w:sdtPr>
            <w:sdtContent>
              <w:p>
                <w:pPr>
                  <w:pStyle w:val="BodyCopyWorking"/>
                </w:pPr>
                <w:r>
                  <w:rPr>
                    <w:rFonts w:ascii="Arial" w:hAnsi="Arial" w:cs="Arial"/>
                    <w:sz w:val="18"/>
                    <w:color w:val="000000"/>
                  </w:rPr>
                  <w:t xml:space="preserve">66 (5.1%)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2"/>
              <w:id w:val="621799779"/>
            </w:sdtPr>
            <w:sdtContent>
              <w:p>
                <w:pPr>
                  <w:pStyle w:val="BodyCopyWorking"/>
                </w:pPr>
                <w:r>
                  <w:rPr>
                    <w:rFonts w:ascii="Arial" w:hAnsi="Arial" w:cs="Arial"/>
                    <w:sz w:val="18"/>
                    <w:color w:val="000000"/>
                  </w:rPr>
                  <w:t xml:space="preserve">46 (7.0%)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1"/>
              <w:id w:val="101536481"/>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2"/>
              <w:id w:val="161622868"/>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Reason for discontinuation, N (%)</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Withdrawal by subject: 26 (2.0%) (CSR pp. 58, 65-68.)"/>
                <w:id w:val="1900000032"/>
              </w:sdtPr>
              <w:sdtContent>
                <w:r>
                  <w:rPr>
                    <w:rFonts w:ascii="Arial" w:hAnsi="Arial"/>
                    <w:color w:val="000000"/>
                    <w:sz w:val="18"/>
                  </w:rPr>
                  <w:t>Withdrawal by subject: 26 (2.0%) (CSR pp. 58, 65-68.)</w:t>
                </w:r>
              </w:sdtContent>
            </w:sdt>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Withdrawal by subject: 17 (2.6%) (CSR pp. 58, 65-68.)"/>
                <w:id w:val="1900000033"/>
              </w:sdtPr>
              <w:sdtContent>
                <w:r>
                  <w:rPr>
                    <w:rFonts w:ascii="Arial" w:hAnsi="Arial"/>
                    <w:color w:val="000000"/>
                    <w:sz w:val="18"/>
                  </w:rPr>
                  <w:t>Withdrawal by subject: 17 (2.6%) (CSR pp. 58, 65-68.)</w:t>
                </w:r>
              </w:sdtContent>
            </w:sdt>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No second study reported. (CSR pp. 1, 32.)"/>
                <w:id w:val="1900000034"/>
              </w:sdtPr>
              <w:sdtContent>
                <w:r>
                  <w:rPr>
                    <w:rFonts w:ascii="Arial" w:hAnsi="Arial"/>
                    <w:color w:val="000000"/>
                    <w:sz w:val="18"/>
                  </w:rPr>
                  <w:t>No second study reported. (CSR pp. 1, 32.)</w:t>
                </w:r>
              </w:sdtContent>
            </w:sdt>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No second study reported. (CSR pp. 1, 32.)"/>
                <w:id w:val="1900000035"/>
              </w:sdtPr>
              <w:sdtContent>
                <w:r>
                  <w:rPr>
                    <w:rFonts w:ascii="Arial" w:hAnsi="Arial"/>
                    <w:color w:val="000000"/>
                    <w:sz w:val="18"/>
                  </w:rPr>
                  <w:t>No second study reported. (CSR pp. 1, 32.)</w:t>
                </w:r>
              </w:sdtContent>
            </w:sdt>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Adverse events</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1"/>
              <w:id w:val="1330433526"/>
            </w:sdtPr>
            <w:sdtContent>
              <w:p>
                <w:pPr>
                  <w:pStyle w:val="BodyCopyWorking"/>
                </w:pPr>
                <w:r>
                  <w:rPr>
                    <w:rFonts w:ascii="Arial" w:hAnsi="Arial" w:cs="Arial"/>
                    <w:sz w:val="18"/>
                    <w:color w:val="000000"/>
                  </w:rPr>
                  <w:t xml:space="preserve">4 consent withdrawals mentioning AEs; not systematically collected. (CSR pp. 136-137, Table 12-7.)</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2"/>
              <w:id w:val="2137401816"/>
            </w:sdtPr>
            <w:sdtContent>
              <w:p>
                <w:pPr>
                  <w:pStyle w:val="BodyCopyWorking"/>
                </w:pPr>
                <w:r>
                  <w:rPr>
                    <w:rFonts w:ascii="Arial" w:hAnsi="Arial" w:cs="Arial"/>
                    <w:sz w:val="18"/>
                    <w:color w:val="000000"/>
                  </w:rPr>
                  <w:t xml:space="preserve">1 consent withdrawal mentioning AEs; not systematically collected. (CSR pp. 136-137, Table 12-7.)</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1"/>
              <w:id w:val="767735645"/>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2"/>
              <w:id w:val="432304059"/>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Lost to follow-up</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1"/>
              <w:id w:val="1101836181"/>
            </w:sdtPr>
            <w:sdtContent>
              <w:p>
                <w:pPr>
                  <w:pStyle w:val="BodyCopyWorking"/>
                </w:pPr>
                <w:r>
                  <w:rPr>
                    <w:rFonts w:ascii="Arial" w:hAnsi="Arial" w:cs="Arial"/>
                    <w:sz w:val="18"/>
                    <w:color w:val="000000"/>
                  </w:rPr>
                  <w:t xml:space="preserve">39 (3.0%)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2"/>
              <w:id w:val="1191649653"/>
            </w:sdtPr>
            <w:sdtContent>
              <w:p>
                <w:pPr>
                  <w:pStyle w:val="BodyCopyWorking"/>
                </w:pPr>
                <w:r>
                  <w:rPr>
                    <w:rFonts w:ascii="Arial" w:hAnsi="Arial" w:cs="Arial"/>
                    <w:sz w:val="18"/>
                    <w:color w:val="000000"/>
                  </w:rPr>
                  <w:t xml:space="preserve">28 (4.3%)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1"/>
              <w:id w:val="1922246875"/>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2"/>
              <w:id w:val="1451180892"/>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Add rows as required</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Death: 1 (&lt;0.1%) (CSR pp. 58, 65-68.)"/>
                <w:id w:val="1900000036"/>
              </w:sdtPr>
              <w:sdtContent>
                <w:r>
                  <w:rPr>
                    <w:rFonts w:ascii="Arial" w:hAnsi="Arial"/>
                    <w:color w:val="000000"/>
                    <w:sz w:val="18"/>
                  </w:rPr>
                  <w:t>Death: 1 (&lt;0.1%) (CSR pp. 58, 65-68.)</w:t>
                </w:r>
              </w:sdtContent>
            </w:sdt>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Death: 1 (0.2%) (CSR pp. 58, 65-68.)"/>
                <w:id w:val="1900000037"/>
              </w:sdtPr>
              <w:sdtContent>
                <w:r>
                  <w:rPr>
                    <w:rFonts w:ascii="Arial" w:hAnsi="Arial"/>
                    <w:color w:val="000000"/>
                    <w:sz w:val="18"/>
                  </w:rPr>
                  <w:t>Death: 1 (0.2%) (CSR pp. 58, 65-68.)</w:t>
                </w:r>
              </w:sdtContent>
            </w:sdt>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No second study reported. (CSR pp. 1, 32.)"/>
                <w:id w:val="1900000038"/>
              </w:sdtPr>
              <w:sdtContent>
                <w:r>
                  <w:rPr>
                    <w:rFonts w:ascii="Arial" w:hAnsi="Arial"/>
                    <w:color w:val="000000"/>
                    <w:sz w:val="18"/>
                  </w:rPr>
                  <w:t>No second study reported. (CSR pp. 1, 32.)</w:t>
                </w:r>
              </w:sdtContent>
            </w:sdt>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No second study reported. (CSR pp. 1, 32.)"/>
                <w:id w:val="1900000039"/>
              </w:sdtPr>
              <w:sdtContent>
                <w:r>
                  <w:rPr>
                    <w:rFonts w:ascii="Arial" w:hAnsi="Arial"/>
                    <w:color w:val="000000"/>
                    <w:sz w:val="18"/>
                  </w:rPr>
                  <w:t>No second study reported. (CSR pp. 1, 32.)</w:t>
                </w:r>
              </w:sdtContent>
            </w:sdt>
          </w:p>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FAS,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FAS — Study 1 treatment 1"/>
              <w:id w:val="799002135"/>
            </w:sdtPr>
            <w:sdtContent>
              <w:p>
                <w:pPr>
                  <w:pStyle w:val="BodyCopyWorking"/>
                </w:pPr>
                <w:r>
                  <w:rPr>
                    <w:rFonts w:ascii="Arial" w:hAnsi="Arial" w:cs="Arial"/>
                    <w:sz w:val="18"/>
                    <w:color w:val="000000"/>
                  </w:rPr>
                  <w:t xml:space="preserve">1,306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FAS — Study 1 treatment 2"/>
              <w:id w:val="1517486783"/>
            </w:sdtPr>
            <w:sdtContent>
              <w:p>
                <w:pPr>
                  <w:pStyle w:val="BodyCopyWorking"/>
                </w:pPr>
                <w:r>
                  <w:rPr>
                    <w:rFonts w:ascii="Arial" w:hAnsi="Arial" w:cs="Arial"/>
                    <w:sz w:val="18"/>
                    <w:color w:val="000000"/>
                  </w:rPr>
                  <w:t xml:space="preserve">655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FAS — Study 2 treatment 1"/>
              <w:id w:val="920944957"/>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FAS — Study 2 treatment 2"/>
              <w:id w:val="174187984"/>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PP,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PP — Study 1 treatment 1"/>
              <w:id w:val="1281354242"/>
            </w:sdtPr>
            <w:sdtContent>
              <w:p>
                <w:pPr>
                  <w:pStyle w:val="BodyCopyWorking"/>
                </w:pPr>
                <w:r>
                  <w:rPr>
                    <w:rFonts w:ascii="Arial" w:hAnsi="Arial" w:cs="Arial"/>
                    <w:sz w:val="18"/>
                    <w:color w:val="000000"/>
                  </w:rPr>
                  <w:t xml:space="preserve">Not defined.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PP — Study 1 treatment 2"/>
              <w:id w:val="1230215137"/>
            </w:sdtPr>
            <w:sdtContent>
              <w:p>
                <w:pPr>
                  <w:pStyle w:val="BodyCopyWorking"/>
                </w:pPr>
                <w:r>
                  <w:rPr>
                    <w:rFonts w:ascii="Arial" w:hAnsi="Arial" w:cs="Arial"/>
                    <w:sz w:val="18"/>
                    <w:color w:val="000000"/>
                  </w:rPr>
                  <w:t xml:space="preserve">Not defined.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PP — Study 2 treatment 1"/>
              <w:id w:val="1682091021"/>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PP — Study 2 treatment 2"/>
              <w:id w:val="380481777"/>
            </w:sdtPr>
            <w:sdtContent>
              <w:p>
                <w:pPr>
                  <w:pStyle w:val="BodyCopyWorking"/>
                </w:pPr>
                <w:r>
                  <w:rPr>
                    <w:rFonts w:ascii="Arial" w:hAnsi="Arial" w:cs="Arial"/>
                    <w:sz w:val="18"/>
                    <w:color w:val="000000"/>
                  </w:rPr>
                  <w:t xml:space="preserve">Second study not reported. (CSR pp. 1, 32.)</w:t>
                </w:r>
              </w:p>
            </w:sdtContent>
          </w:sdt>
        </w:tc>
      </w:tr>
      <w:tr>
        <w:trPr>
          <w:cantSplit/>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Safety,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1"/>
              <w:id w:val="621664135"/>
            </w:sdtPr>
            <w:sdtContent>
              <w:p>
                <w:pPr>
                  <w:pStyle w:val="BodyCopyWorking"/>
                </w:pPr>
                <w:r>
                  <w:rPr>
                    <w:rFonts w:ascii="Arial" w:hAnsi="Arial" w:cs="Arial"/>
                    <w:sz w:val="18"/>
                    <w:color w:val="000000"/>
                  </w:rPr>
                  <w:t xml:space="preserve">1,306 (CSR pp. 58, 65-68.)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2"/>
              <w:id w:val="344799928"/>
            </w:sdtPr>
            <w:sdtContent>
              <w:p>
                <w:pPr>
                  <w:pStyle w:val="BodyCopyWorking"/>
                </w:pPr>
                <w:r>
                  <w:rPr>
                    <w:rFonts w:ascii="Arial" w:hAnsi="Arial" w:cs="Arial"/>
                    <w:sz w:val="18"/>
                    <w:color w:val="000000"/>
                  </w:rPr>
                  <w:t xml:space="preserve">655 (CSR pp. 58, 65-68.)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1"/>
              <w:id w:val="272364580"/>
            </w:sdtPr>
            <w:sdtContent>
              <w:p>
                <w:pPr>
                  <w:pStyle w:val="BodyCopyWorking"/>
                </w:pPr>
                <w:r>
                  <w:rPr>
                    <w:rFonts w:ascii="Arial" w:hAnsi="Arial" w:cs="Arial"/>
                    <w:sz w:val="18"/>
                    <w:color w:val="000000"/>
                  </w:rPr>
                  <w:t xml:space="preserve">Second study not reported. (CSR pp. 1, 32.)</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2"/>
              <w:id w:val="1044293921"/>
            </w:sdtPr>
            <w:sdtContent>
              <w:p>
                <w:pPr>
                  <w:pStyle w:val="BodyCopyWorking"/>
                </w:pPr>
                <w:r>
                  <w:rPr>
                    <w:rFonts w:ascii="Arial" w:hAnsi="Arial" w:cs="Arial"/>
                    <w:sz w:val="18"/>
                    <w:color w:val="000000"/>
                  </w:rPr>
                  <w:t xml:space="preserve">Second study not reported. (CSR pp. 1, 32.)</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Exposure to Interventions</w:t>
      </w:r>
    </w:p>
    <w:p>
      <w:pPr>
        <w:pStyle w:val="Subheadinglvl2Working"/>
        <w:rPr/>
      </w:pPr>
      <w:r>
        <w:rPr/>
        <w:t>Study treatments</w:t>
      </w:r>
      <w:bookmarkEnd w:id="81"/>
    </w:p>
    <w:p>
      <w:pPr>
        <w:pStyle w:val="InstructionsWorking"/>
        <w:numPr>
          <w:ilvl w:val="0"/>
          <w:numId w:val="0"/>
        </w:numPr>
        <w:ind w:hanging="0" w:start="0"/>
        <w:rPr/>
      </w:pPr>
      <w:sdt>
        <w:sdtPr>
          <w:alias w:val="Exposure to interventions — study treatments narrative"/>
          <w:id w:val="379272513"/>
        </w:sdtPr>
        <w:sdtContent>
          <w:r>
            <w:rPr>
              <w:rFonts w:ascii="Arial" w:hAnsi="Arial" w:cs="Arial"/>
              <w:sz w:val="20"/>
              <w:color w:val="000000"/>
            </w:rPr>
            <w:t xml:space="preserve">The exposure table uses time to first treatment discontinuation (including temporary interruption), consistent with the CSR narrative. AE summaries use the separate 49-day ascertainment window (1,706.1 versus 829.6 patient-years). These denominators are not interchangeable. (CSR pp. 73, 128, 310; Tables 12-1 and 14.1.23.)</w:t>
          </w:r>
        </w:sdtContent>
      </w:sdt>
    </w:p>
    <w:p>
      <w:pPr>
        <w:pStyle w:val="TableTitleCADTH"/>
        <w:spacing w:lineRule="auto" w:line="360" w:before="240" w:after="0"/>
        <w:rPr>
          <w:rFonts w:cs="Arial"/>
          <w:color w:val="auto"/>
          <w:sz w:val="20"/>
          <w:szCs w:val="20"/>
        </w:rPr>
      </w:pPr>
      <w:r>
        <w:rPr>
          <w:rFonts w:cs="Arial"/>
          <w:color w:val="auto"/>
          <w:sz w:val="20"/>
          <w:szCs w:val="20"/>
        </w:rPr>
        <w:t xml:space="preserve">Table </w:t>
      </w:r>
      <w:sdt>
        <w:sdtPr>
          <w:alias w:val="Patient exposure table — number"/>
          <w:id w:val="1129376544"/>
        </w:sdtPr>
        <w:sdtContent>
          <w:r>
            <w:rPr>
              <w:rFonts w:ascii="Arial" w:hAnsi="Arial" w:cs="Arial"/>
              <w:sz w:val="20"/>
              <w:color w:val="000000"/>
            </w:rPr>
            <w:t xml:space="preserve">12</w:t>
          </w:r>
        </w:sdtContent>
      </w:sdt>
      <w:r>
        <w:rPr>
          <w:rFonts w:cs="Arial"/>
          <w:color w:val="auto"/>
          <w:sz w:val="20"/>
          <w:szCs w:val="20"/>
        </w:rPr>
        <w:t>: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cantSpli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1 treatment 1"/>
                <w:id w:val="999719648"/>
              </w:sdtPr>
              <w:sdtContent>
                <w:r>
                  <w:rPr>
                    <w:rFonts w:ascii="Arial" w:hAnsi="Arial" w:cs="Arial"/>
                    <w:sz w:val="18"/>
                    <w:color w:val="000000"/>
                  </w:rPr>
                  <w:t xml:space="preserve">Semaglutide 2.4 mg (CSR p. 65.)</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1 treatment 1 sample size"/>
                <w:id w:val="1566511647"/>
              </w:sdtPr>
              <w:sdtContent>
                <w:r>
                  <w:rPr>
                    <w:rFonts w:ascii="Arial" w:hAnsi="Arial" w:cs="Arial"/>
                    <w:sz w:val="18"/>
                    <w:color w:val="000000"/>
                  </w:rPr>
                  <w:t xml:space="preserve">1,306 (CSR p. 65.)</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1 treatment 2"/>
                <w:id w:val="849608264"/>
              </w:sdtPr>
              <w:sdtContent>
                <w:r>
                  <w:rPr>
                    <w:rFonts w:ascii="Arial" w:hAnsi="Arial" w:cs="Arial"/>
                    <w:sz w:val="18"/>
                    <w:color w:val="000000"/>
                  </w:rPr>
                  <w:t xml:space="preserve">Placebo (CSR p. 65.)</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1 treatment 2 sample size"/>
                <w:id w:val="1311852991"/>
              </w:sdtPr>
              <w:sdtContent>
                <w:r>
                  <w:rPr>
                    <w:rFonts w:ascii="Arial" w:hAnsi="Arial" w:cs="Arial"/>
                    <w:sz w:val="18"/>
                    <w:color w:val="000000"/>
                  </w:rPr>
                  <w:t xml:space="preserve">655 (CSR p. 65.)</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2 treatment 1"/>
                <w:id w:val="323615679"/>
              </w:sdtPr>
              <w:sdtContent>
                <w:r>
                  <w:rPr>
                    <w:rFonts w:ascii="Arial" w:hAnsi="Arial" w:cs="Arial"/>
                    <w:sz w:val="18"/>
                    <w:color w:val="000000"/>
                  </w:rPr>
                  <w:t xml:space="preserve">Second study not reported. (CSR pp. 1, 32.)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2 treatment 1 sample size"/>
                <w:id w:val="1312152643"/>
              </w:sdtPr>
              <w:sdtContent>
                <w:r>
                  <w:rPr>
                    <w:rFonts w:ascii="Arial" w:hAnsi="Arial" w:cs="Arial"/>
                    <w:sz w:val="18"/>
                    <w:color w:val="000000"/>
                  </w:rPr>
                  <w:t xml:space="preserve">Second study not reported. (CSR pp. 1, 32.)</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2 treatment 2"/>
                <w:id w:val="1720307850"/>
              </w:sdtPr>
              <w:sdtContent>
                <w:r>
                  <w:rPr>
                    <w:rFonts w:ascii="Arial" w:hAnsi="Arial" w:cs="Arial"/>
                    <w:sz w:val="18"/>
                    <w:color w:val="000000"/>
                  </w:rPr>
                  <w:t xml:space="preserve">Second study not reported. (CSR pp. 1, 32.)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2 treatment 2 sample size"/>
                <w:id w:val="1920971000"/>
              </w:sdtPr>
              <w:sdtContent>
                <w:r>
                  <w:rPr>
                    <w:rFonts w:ascii="Arial" w:hAnsi="Arial" w:cs="Arial"/>
                    <w:sz w:val="18"/>
                    <w:color w:val="000000"/>
                  </w:rPr>
                  <w:t xml:space="preserve">Second study not reported. (CSR pp. 1, 32.)</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1"/>
              <w:id w:val="1622255754"/>
            </w:sdtPr>
            <w:sdtContent>
              <w:p>
                <w:pPr>
                  <w:pStyle w:val="BodyCopyWorking"/>
                </w:pPr>
                <w:r>
                  <w:rPr>
                    <w:rFonts w:ascii="Arial" w:hAnsi="Arial" w:cs="Arial"/>
                    <w:sz w:val="18"/>
                    <w:color w:val="000000"/>
                  </w:rPr>
                  <w:t xml:space="preserve">1,480.8 patient-years (CSR p. 310, Table 14.1.23; time to first discontinuation.)</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2"/>
              <w:id w:val="1676202065"/>
            </w:sdtPr>
            <w:sdtContent>
              <w:p>
                <w:pPr>
                  <w:pStyle w:val="BodyCopyWorking"/>
                </w:pPr>
                <w:r>
                  <w:rPr>
                    <w:rFonts w:ascii="Arial" w:hAnsi="Arial" w:cs="Arial"/>
                    <w:sz w:val="18"/>
                    <w:color w:val="000000"/>
                  </w:rPr>
                  <w:t xml:space="preserve">720.9 patient-years (CSR p. 310, Table 14.1.23; time to first discontinuation.)</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1"/>
              <w:id w:val="207093970"/>
            </w:sdtPr>
            <w:sdtContent>
              <w:p>
                <w:pPr>
                  <w:pStyle w:val="BodyCopyWorking"/>
                </w:pPr>
                <w:r>
                  <w:rPr>
                    <w:rFonts w:ascii="Arial" w:hAnsi="Arial" w:cs="Arial"/>
                    <w:sz w:val="18"/>
                    <w:color w:val="000000"/>
                  </w:rPr>
                  <w:t xml:space="preserve">Second study not reported. (CSR pp. 1, 32.)</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2"/>
              <w:id w:val="1600177533"/>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1"/>
              <w:id w:val="586129066"/>
            </w:sdtPr>
            <w:sdtContent>
              <w:p>
                <w:pPr>
                  <w:pStyle w:val="BodyCopyWorking"/>
                </w:pPr>
                <w:r>
                  <w:rPr>
                    <w:rFonts w:ascii="Arial" w:hAnsi="Arial" w:cs="Arial"/>
                    <w:sz w:val="18"/>
                    <w:color w:val="000000"/>
                  </w:rPr>
                  <w:t xml:space="preserve">59.2 (20.2) weeks (CSR p. 310, Table 14.1.23; time to first discontinuation.)</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2"/>
              <w:id w:val="604654121"/>
            </w:sdtPr>
            <w:sdtContent>
              <w:p>
                <w:pPr>
                  <w:pStyle w:val="BodyCopyWorking"/>
                </w:pPr>
                <w:r>
                  <w:rPr>
                    <w:rFonts w:ascii="Arial" w:hAnsi="Arial" w:cs="Arial"/>
                    <w:sz w:val="18"/>
                    <w:color w:val="000000"/>
                  </w:rPr>
                  <w:t xml:space="preserve">57.4 (20.6) weeks (CSR p. 310, Table 14.1.23; time to first discontinuation.)</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1"/>
              <w:id w:val="748895973"/>
            </w:sdtPr>
            <w:sdtContent>
              <w:p>
                <w:pPr>
                  <w:pStyle w:val="BodyCopyWorking"/>
                </w:pPr>
                <w:r>
                  <w:rPr>
                    <w:rFonts w:ascii="Arial" w:hAnsi="Arial" w:cs="Arial"/>
                    <w:sz w:val="18"/>
                    <w:color w:val="000000"/>
                  </w:rPr>
                  <w:t xml:space="preserve">Second study not reported. (CSR pp. 1, 32.)</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2"/>
              <w:id w:val="782830980"/>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1"/>
              <w:id w:val="1454924577"/>
            </w:sdtPr>
            <w:sdtContent>
              <w:p>
                <w:pPr>
                  <w:pStyle w:val="BodyCopyWorking"/>
                </w:pPr>
                <w:r>
                  <w:rPr>
                    <w:rFonts w:ascii="Arial" w:hAnsi="Arial" w:cs="Arial"/>
                    <w:sz w:val="18"/>
                    <w:color w:val="000000"/>
                  </w:rPr>
                  <w:t xml:space="preserve">69.1 weeks [2.1-73.1] (CSR p. 310, Table 14.1.23; time to first discontinuation.)</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2"/>
              <w:id w:val="2045592137"/>
            </w:sdtPr>
            <w:sdtContent>
              <w:p>
                <w:pPr>
                  <w:pStyle w:val="BodyCopyWorking"/>
                </w:pPr>
                <w:r>
                  <w:rPr>
                    <w:rFonts w:ascii="Arial" w:hAnsi="Arial" w:cs="Arial"/>
                    <w:sz w:val="18"/>
                    <w:color w:val="000000"/>
                  </w:rPr>
                  <w:t xml:space="preserve">69.1 weeks [0.1-74.7] (CSR p. 310, Table 14.1.23; time to first discontinuation.)</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1"/>
              <w:id w:val="1933422962"/>
            </w:sdtPr>
            <w:sdtContent>
              <w:p>
                <w:pPr>
                  <w:pStyle w:val="BodyCopyWorking"/>
                </w:pPr>
                <w:r>
                  <w:rPr>
                    <w:rFonts w:ascii="Arial" w:hAnsi="Arial" w:cs="Arial"/>
                    <w:sz w:val="18"/>
                    <w:color w:val="000000"/>
                  </w:rPr>
                  <w:t xml:space="preserve">Second study not reported. (CSR pp. 1, 32.)</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2"/>
              <w:id w:val="73475143"/>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1"/>
              <w:id w:val="768009665"/>
            </w:sdtPr>
            <w:sdtContent>
              <w:p>
                <w:pPr>
                  <w:pStyle w:val="BodyCopyWorking"/>
                </w:pPr>
                <w:r>
                  <w:rPr>
                    <w:rFonts w:ascii="Arial" w:hAnsi="Arial" w:cs="Arial"/>
                    <w:sz w:val="18"/>
                    <w:color w:val="000000"/>
                  </w:rPr>
                  <w:t xml:space="preserve">Overall adherence % not reported; 89.6% of completers had 2.4 mg at last dose. (CSR pp. 73-74.)</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2"/>
              <w:id w:val="302260809"/>
            </w:sdtPr>
            <w:sdtContent>
              <w:p>
                <w:pPr>
                  <w:pStyle w:val="BodyCopyWorking"/>
                </w:pPr>
                <w:r>
                  <w:rPr>
                    <w:rFonts w:ascii="Arial" w:hAnsi="Arial" w:cs="Arial"/>
                    <w:sz w:val="18"/>
                    <w:color w:val="000000"/>
                  </w:rPr>
                  <w:t xml:space="preserve">Overall adherence % not reported; 98.0% of completers had matching maintenance volume. (CSR pp. 73-74.)</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1"/>
              <w:id w:val="1662864798"/>
            </w:sdtPr>
            <w:sdtContent>
              <w:p>
                <w:pPr>
                  <w:pStyle w:val="BodyCopyWorking"/>
                </w:pPr>
                <w:r>
                  <w:rPr>
                    <w:rFonts w:ascii="Arial" w:hAnsi="Arial" w:cs="Arial"/>
                    <w:sz w:val="18"/>
                    <w:color w:val="000000"/>
                  </w:rPr>
                  <w:t xml:space="preserve">Second study not reported. (CSR pp. 1, 32.)</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2"/>
              <w:id w:val="58236"/>
            </w:sdtPr>
            <w:sdtContent>
              <w:p>
                <w:pPr>
                  <w:pStyle w:val="BodyCopyWorking"/>
                </w:pPr>
                <w:r>
                  <w:rPr>
                    <w:rFonts w:ascii="Arial" w:hAnsi="Arial" w:cs="Arial"/>
                    <w:sz w:val="18"/>
                    <w:color w:val="000000"/>
                  </w:rPr>
                  <w:t xml:space="preserve">Second study not reported. (CSR pp. 1, 32.)</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sdt>
      <w:sdtPr>
        <w:alias w:val="Concomitant medications and co-interventions — table and narrative"/>
        <w:id w:val="573479684"/>
      </w:sdtPr>
      <w:sdtContent>
        <w:p>
          <w:pPr>
            <w:pStyle w:val="BodyCopyWorking"/>
          </w:pPr>
          <w:r>
            <w:rPr>
              <w:rFonts w:ascii="Arial" w:hAnsi="Arial" w:cs="Arial"/>
              <w:sz w:val="20"/>
              <w:color w:val="000000"/>
            </w:rPr>
            <w:t xml:space="preserve">Both groups received counselling every 4 weeks for a 500 kcal/day deficit and ≥150 minutes/week of physical activity, with daily food/activity records. (CSR p. 41.) Baseline concomitant use included renin-angiotensin-system agents (23.6%) and lipid-modifying agents (18.5%) overall. During trial, acid-related-disorder drugs were initiated in 26.2% versus 13.0%, and functional-GI-disorder drugs in 13.8% versus 4.6%. Other anti-obesity medication was used by 5 (0.4%) versus 10 (1.5%), and bariatric surgery by 2 (0.2%) versus 3 (0.5%). (CSR pp. 71-72.)</w:t>
          </w:r>
        </w:p>
      </w:sdtContent>
    </w:sdt>
    <w:p>
      <w:pPr>
        <w:pStyle w:val="Subheadinglvl2Working"/>
        <w:rPr/>
      </w:pPr>
      <w:r>
        <w:rPr/>
        <w:t>Subsequent treatment (if applicable)</w:t>
      </w:r>
    </w:p>
    <w:sdt>
      <w:sdtPr>
        <w:alias w:val="Subsequent treatment — protocols and treatment summary"/>
        <w:id w:val="2140760690"/>
      </w:sdtPr>
      <w:sdtContent>
        <w:p>
          <w:pPr>
            <w:pStyle w:val="BodyCopyWorking"/>
          </w:pPr>
          <w:r>
            <w:rPr>
              <w:rFonts w:ascii="Arial" w:hAnsi="Arial" w:cs="Arial"/>
              <w:sz w:val="20"/>
              <w:color w:val="000000"/>
            </w:rPr>
            <w:t xml:space="preserve">Other anti-obesity medication during trial: 5 (0.4%) versus 10 (1.5%); bariatric surgery: 2 (0.2%) versus 3 (0.5%). No randomized cross-over is described. Detailed subsequent-therapy regimens and a combined unique-patient total are not reported. (CSR pp. 35, 72.)</w:t>
          </w:r>
        </w:p>
      </w:sdtContent>
    </w:sdt>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r>
      <w:r>
        <w:t>Table 13: Sample Table for Subsequent Treatment</w:t>
      </w:r>
    </w:p>
    <w:tbl>
      <w:tblPr>
        <w:tblW w:w="10135"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247"/>
        <w:gridCol w:w="1588"/>
        <w:gridCol w:w="1673"/>
        <w:gridCol w:w="1812"/>
        <w:gridCol w:w="1815"/>
      </w:tblGrid>
      <w:tr>
        <w:trPr>
          <w:trHeight w:val="90" w:hRule="atLeast"/>
          <w:cantSplit/>
        </w:trPr>
        <w:tc>
          <w:tcPr>
            <w:tcW w:w="324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0"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247" w:type="dxa"/>
            <w:vMerge w:val="continue"/>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1 treatment 1"/>
                <w:id w:val="1635364622"/>
              </w:sdtPr>
              <w:sdtContent>
                <w:r>
                  <w:rPr>
                    <w:rFonts w:ascii="Arial" w:hAnsi="Arial" w:cs="Arial"/>
                    <w:sz w:val="18"/>
                    <w:color w:val="000000"/>
                  </w:rPr>
                  <w:t xml:space="preserve">Semaglutide 2.4 mg (CSR p. 65.)</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1 treatment 1 sample size"/>
                <w:id w:val="1095307890"/>
              </w:sdtPr>
              <w:sdtContent>
                <w:r>
                  <w:rPr>
                    <w:rFonts w:ascii="Arial" w:hAnsi="Arial" w:cs="Arial"/>
                    <w:sz w:val="18"/>
                    <w:color w:val="000000"/>
                  </w:rPr>
                  <w:t xml:space="preserve">1,306 (CSR p. 65.)</w:t>
                </w:r>
              </w:sdtContent>
            </w:sdt>
            <w:r>
              <w:rPr>
                <w:rFonts w:eastAsia="MS Mincho" w:cs="Arial" w:ascii="Arial" w:hAnsi="Arial"/>
                <w:b/>
                <w:bCs/>
                <w:color w:themeColor="text1" w:themeTint="f2" w:val="0D0D0D"/>
                <w:sz w:val="18"/>
                <w:szCs w:val="18"/>
              </w:rPr>
              <w:t>)</w:t>
            </w:r>
          </w:p>
        </w:tc>
        <w:tc>
          <w:tcPr>
            <w:tcW w:w="167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1 treatment 2"/>
                <w:id w:val="123010935"/>
              </w:sdtPr>
              <w:sdtContent>
                <w:r>
                  <w:rPr>
                    <w:rFonts w:ascii="Arial" w:hAnsi="Arial" w:cs="Arial"/>
                    <w:sz w:val="18"/>
                    <w:color w:val="000000"/>
                  </w:rPr>
                  <w:t xml:space="preserve">Placebo (CSR p. 65.)</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1 treatment 2 sample size"/>
                <w:id w:val="636529619"/>
              </w:sdtPr>
              <w:sdtContent>
                <w:r>
                  <w:rPr>
                    <w:rFonts w:ascii="Arial" w:hAnsi="Arial" w:cs="Arial"/>
                    <w:sz w:val="18"/>
                    <w:color w:val="000000"/>
                  </w:rPr>
                  <w:t xml:space="preserve">655 (CSR p. 65.)</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2 treatment 1"/>
                <w:id w:val="170657821"/>
              </w:sdtPr>
              <w:sdtContent>
                <w:r>
                  <w:rPr>
                    <w:rFonts w:ascii="Arial" w:hAnsi="Arial" w:cs="Arial"/>
                    <w:sz w:val="18"/>
                    <w:color w:val="000000"/>
                  </w:rPr>
                  <w:t xml:space="preserve">Second study not reported. (CSR pp. 1, 32.)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2 treatment 1 sample size"/>
                <w:id w:val="1759837169"/>
              </w:sdtPr>
              <w:sdtContent>
                <w:r>
                  <w:rPr>
                    <w:rFonts w:ascii="Arial" w:hAnsi="Arial" w:cs="Arial"/>
                    <w:sz w:val="18"/>
                    <w:color w:val="000000"/>
                  </w:rPr>
                  <w:t xml:space="preserve">Second study not reported. (CSR pp. 1, 32.)</w:t>
                </w:r>
              </w:sdtContent>
            </w:sdt>
            <w:r>
              <w:rPr>
                <w:rFonts w:eastAsia="MS Mincho" w:cs="Arial" w:ascii="Arial" w:hAnsi="Arial"/>
                <w:b/>
                <w:bCs/>
                <w:color w:themeColor="text1" w:themeTint="f2" w:val="0D0D0D"/>
                <w:sz w:val="18"/>
                <w:szCs w:val="18"/>
              </w:rPr>
              <w:t>)</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2 treatment 2"/>
                <w:id w:val="199072809"/>
              </w:sdtPr>
              <w:sdtContent>
                <w:r>
                  <w:rPr>
                    <w:rFonts w:ascii="Arial" w:hAnsi="Arial" w:cs="Arial"/>
                    <w:sz w:val="18"/>
                    <w:color w:val="000000"/>
                  </w:rPr>
                  <w:t xml:space="preserve">Second study not reported. (CSR pp. 1, 32.)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Subsequent treatment — Study 2 treatment 2 sample size"/>
                <w:id w:val="1768588778"/>
              </w:sdtPr>
              <w:sdtContent>
                <w:r>
                  <w:rPr>
                    <w:rFonts w:ascii="Arial" w:hAnsi="Arial" w:cs="Arial"/>
                    <w:sz w:val="18"/>
                    <w:color w:val="000000"/>
                  </w:rPr>
                  <w:t xml:space="preserve">Second study not reported. (CSR pp. 1, 32.)</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1"/>
              <w:id w:val="26345956"/>
            </w:sdtPr>
            <w:sdtContent>
              <w:p>
                <w:pPr>
                  <w:pStyle w:val="BodyCopyWorking"/>
                </w:pPr>
                <w:r>
                  <w:rPr>
                    <w:rFonts w:ascii="Arial" w:hAnsi="Arial" w:cs="Arial"/>
                    <w:sz w:val="18"/>
                    <w:color w:val="000000"/>
                  </w:rPr>
                  <w:t xml:space="preserve">Combined unique-patient total not reported. (CSR p. 72.)</w:t>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2"/>
              <w:id w:val="255594123"/>
            </w:sdtPr>
            <w:sdtContent>
              <w:p>
                <w:pPr>
                  <w:pStyle w:val="BodyCopyWorking"/>
                </w:pPr>
                <w:r>
                  <w:rPr>
                    <w:rFonts w:ascii="Arial" w:hAnsi="Arial" w:cs="Arial"/>
                    <w:sz w:val="18"/>
                    <w:color w:val="000000"/>
                  </w:rPr>
                  <w:t xml:space="preserve">Combined unique-patient total not reported. (CSR p. 72.)</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1"/>
              <w:id w:val="1512323840"/>
            </w:sdtPr>
            <w:sdtContent>
              <w:p>
                <w:pPr>
                  <w:pStyle w:val="BodyCopyWorking"/>
                </w:pPr>
                <w:r>
                  <w:rPr>
                    <w:rFonts w:ascii="Arial" w:hAnsi="Arial" w:cs="Arial"/>
                    <w:sz w:val="18"/>
                    <w:color w:val="000000"/>
                  </w:rPr>
                  <w:t xml:space="preserve">Second study not reported. (CSR pp. 1, 32.)</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2"/>
              <w:id w:val="1305467402"/>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sdt>
              <w:sdtPr>
                <w:alias w:val="Subsequent treatment — therapy 1 name"/>
                <w:id w:val="34538665"/>
              </w:sdtPr>
              <w:sdtContent>
                <w:r>
                  <w:rPr>
                    <w:rFonts w:ascii="Arial" w:hAnsi="Arial" w:cs="Arial"/>
                    <w:sz w:val="18"/>
                    <w:color w:val="000000"/>
                  </w:rPr>
                  <w:t xml:space="preserve">Other anti-obesity medication (during trial). (CSR p. 72.)</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1"/>
              <w:id w:val="1588575875"/>
            </w:sdtPr>
            <w:sdtContent>
              <w:p>
                <w:pPr>
                  <w:pStyle w:val="BodyCopyWorking"/>
                </w:pPr>
                <w:r>
                  <w:rPr>
                    <w:rFonts w:ascii="Arial" w:hAnsi="Arial" w:cs="Arial"/>
                    <w:sz w:val="18"/>
                    <w:color w:val="000000"/>
                  </w:rPr>
                  <w:t xml:space="preserve">5 (0.4%). (CSR p. 72.)</w:t>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2"/>
              <w:id w:val="1693405315"/>
            </w:sdtPr>
            <w:sdtContent>
              <w:p>
                <w:pPr>
                  <w:pStyle w:val="BodyCopyWorking"/>
                </w:pPr>
                <w:r>
                  <w:rPr>
                    <w:rFonts w:ascii="Arial" w:hAnsi="Arial" w:cs="Arial"/>
                    <w:sz w:val="18"/>
                    <w:color w:val="000000"/>
                  </w:rPr>
                  <w:t xml:space="preserve">10 (1.5%). (CSR p. 72.)</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1"/>
              <w:id w:val="2051677724"/>
            </w:sdtPr>
            <w:sdtContent>
              <w:p>
                <w:pPr>
                  <w:pStyle w:val="BodyCopyWorking"/>
                </w:pPr>
                <w:r>
                  <w:rPr>
                    <w:rFonts w:ascii="Arial" w:hAnsi="Arial" w:cs="Arial"/>
                    <w:sz w:val="18"/>
                    <w:color w:val="000000"/>
                  </w:rPr>
                  <w:t xml:space="preserve">Second study not reported. (CSR pp. 1, 32.)</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2"/>
              <w:id w:val="150693318"/>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sdt>
              <w:sdtPr>
                <w:alias w:val="Subsequent treatment — therapy 2 name"/>
                <w:id w:val="262182681"/>
              </w:sdtPr>
              <w:sdtContent>
                <w:r>
                  <w:rPr>
                    <w:rFonts w:ascii="Arial" w:hAnsi="Arial" w:cs="Arial"/>
                    <w:sz w:val="18"/>
                    <w:color w:val="000000"/>
                  </w:rPr>
                  <w:t xml:space="preserve">Bariatric surgery (during trial). (CSR p. 72.)</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1"/>
              <w:id w:val="1933197586"/>
            </w:sdtPr>
            <w:sdtContent>
              <w:p>
                <w:pPr>
                  <w:pStyle w:val="BodyCopyWorking"/>
                </w:pPr>
                <w:r>
                  <w:rPr>
                    <w:rFonts w:ascii="Arial" w:hAnsi="Arial" w:cs="Arial"/>
                    <w:sz w:val="18"/>
                    <w:color w:val="000000"/>
                  </w:rPr>
                  <w:t xml:space="preserve">2 (0.2%). (CSR p. 72.)</w:t>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2"/>
              <w:id w:val="56641577"/>
            </w:sdtPr>
            <w:sdtContent>
              <w:p>
                <w:pPr>
                  <w:pStyle w:val="BodyCopyWorking"/>
                </w:pPr>
                <w:r>
                  <w:rPr>
                    <w:rFonts w:ascii="Arial" w:hAnsi="Arial" w:cs="Arial"/>
                    <w:sz w:val="18"/>
                    <w:color w:val="000000"/>
                  </w:rPr>
                  <w:t xml:space="preserve">3 (0.5%). (CSR p. 72.)</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1"/>
              <w:id w:val="44722421"/>
            </w:sdtPr>
            <w:sdtContent>
              <w:p>
                <w:pPr>
                  <w:pStyle w:val="BodyCopyWorking"/>
                </w:pPr>
                <w:r>
                  <w:rPr>
                    <w:rFonts w:ascii="Arial" w:hAnsi="Arial" w:cs="Arial"/>
                    <w:sz w:val="18"/>
                    <w:color w:val="000000"/>
                  </w:rPr>
                  <w:t xml:space="preserve">Second study not reported. (CSR pp. 1, 32.)</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2"/>
              <w:id w:val="40966385"/>
            </w:sdtPr>
            <w:sdtContent>
              <w:p>
                <w:pPr>
                  <w:pStyle w:val="BodyCopyWorking"/>
                </w:pPr>
                <w:r>
                  <w:rPr>
                    <w:rFonts w:ascii="Arial" w:hAnsi="Arial" w:cs="Arial"/>
                    <w:sz w:val="18"/>
                    <w:color w:val="000000"/>
                  </w:rPr>
                  <w:t xml:space="preserve">Second study not reported. (CSR pp. 1, 32.)</w:t>
                </w:r>
              </w:p>
            </w:sdtContent>
          </w:sdt>
        </w:tc>
      </w:tr>
      <w:tr>
        <w:trPr>
          <w:trHeight w:val="90" w:hRule="atLeast"/>
          <w:cantSpli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p>
            <w:pPr>
              <w:keepNext w:val="0"/>
            </w:pPr>
            <w:sdt>
              <w:sdtPr>
                <w:alias w:val="Completed response — Post-trial therapy not reported. (CSR pp. 35-36, 72.)"/>
                <w:id w:val="1900000040"/>
              </w:sdtPr>
              <w:sdtContent>
                <w:r>
                  <w:rPr>
                    <w:rFonts w:ascii="Arial" w:hAnsi="Arial"/>
                    <w:color w:val="000000"/>
                    <w:sz w:val="18"/>
                  </w:rPr>
                  <w:t>Post-trial therapy not reported. (CSR pp. 35-36, 72.)</w:t>
                </w:r>
              </w:sdtContent>
            </w:sdt>
          </w:p>
        </w:tc>
        <w:tc>
          <w:tcPr>
            <w:tcW w:w="1672"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p>
            <w:pPr>
              <w:keepNext w:val="0"/>
            </w:pPr>
            <w:sdt>
              <w:sdtPr>
                <w:alias w:val="Completed response — Post-trial therapy not reported. (CSR pp. 35-36, 72.)"/>
                <w:id w:val="1900000041"/>
              </w:sdtPr>
              <w:sdtContent>
                <w:r>
                  <w:rPr>
                    <w:rFonts w:ascii="Arial" w:hAnsi="Arial"/>
                    <w:color w:val="000000"/>
                    <w:sz w:val="18"/>
                  </w:rPr>
                  <w:t>Post-trial therapy not reported. (CSR pp. 35-36, 72.)</w:t>
                </w:r>
              </w:sdtContent>
            </w:sdt>
          </w:p>
        </w:tc>
        <w:tc>
          <w:tcPr>
            <w:tcW w:w="1812"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p>
            <w:pPr>
              <w:keepNext w:val="0"/>
            </w:pPr>
            <w:sdt>
              <w:sdtPr>
                <w:alias w:val="Completed response — No second study reported. (CSR pp. 1, 32.)"/>
                <w:id w:val="1900000042"/>
              </w:sdtPr>
              <w:sdtContent>
                <w:r>
                  <w:rPr>
                    <w:rFonts w:ascii="Arial" w:hAnsi="Arial"/>
                    <w:color w:val="000000"/>
                    <w:sz w:val="18"/>
                  </w:rPr>
                  <w:t>No second study reported. (CSR pp. 1, 32.)</w:t>
                </w:r>
              </w:sdtContent>
            </w:sdt>
          </w:p>
        </w:tc>
        <w:tc>
          <w:tcPr>
            <w:tcW w:w="1816"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p>
            <w:pPr>
              <w:keepNext w:val="0"/>
            </w:pPr>
            <w:sdt>
              <w:sdtPr>
                <w:alias w:val="Completed response — No second study reported. (CSR pp. 1, 32.)"/>
                <w:id w:val="1900000043"/>
              </w:sdtPr>
              <w:sdtContent>
                <w:r>
                  <w:rPr>
                    <w:rFonts w:ascii="Arial" w:hAnsi="Arial"/>
                    <w:color w:val="000000"/>
                    <w:sz w:val="18"/>
                  </w:rPr>
                  <w:t>No second study reported. (CSR pp. 1, 32.)</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Normal"/>
        <w:rPr>
          <w:rFonts w:ascii="Arial" w:hAnsi="Arial" w:cs="Arial"/>
          <w:color w:val="C00000"/>
          <w:highlight w:val="yellow"/>
        </w:rPr>
      </w:pPr>
      <w:r>
        <w:rPr>
          <w:rFonts w:cs="Arial" w:ascii="Arial" w:hAnsi="Arial"/>
          <w:color w:val="C00000"/>
          <w:highlight w:val="yellow"/>
        </w:rPr>
      </w:r>
    </w:p>
    <w:p>
      <w:pPr>
        <w:pStyle w:val="Headinglvl1Working"/>
        <w:rPr/>
      </w:pPr>
      <w:bookmarkStart w:id="82" w:name="_Toc216182106"/>
      <w:bookmarkStart w:id="83" w:name="_Toc93475836"/>
      <w:bookmarkStart w:id="84" w:name="__RefHeading___Toc6228_3477833118"/>
      <w:bookmarkEnd w:id="84"/>
      <w:r>
        <w:rPr/>
        <w:t>Results</w:t>
      </w:r>
      <w:bookmarkEnd w:id="82"/>
      <w:bookmarkEnd w:id="83"/>
    </w:p>
    <w:p>
      <w:pPr>
        <w:pStyle w:val="Subheadinglvl1Working"/>
        <w:rPr/>
      </w:pPr>
      <w:bookmarkStart w:id="85" w:name="_Toc436038454"/>
      <w:r>
        <w:rPr/>
        <w:t>Efficacy</w:t>
      </w:r>
      <w:bookmarkEnd w:id="85"/>
    </w:p>
    <w:p>
      <w:pPr>
        <w:pStyle w:val="InstructionsWorking"/>
        <w:numPr>
          <w:ilvl w:val="0"/>
          <w:numId w:val="0"/>
        </w:numPr>
        <w:ind w:hanging="0" w:start="0"/>
        <w:rPr/>
      </w:pPr>
      <w:sdt>
        <w:sdtPr>
          <w:alias w:val="Systematic review — efficacy results overview"/>
          <w:id w:val="442796501"/>
        </w:sdtPr>
        <w:sdtContent>
          <w:r>
            <w:rPr>
              <w:rFonts w:ascii="Arial" w:hAnsi="Arial"/>
              <w:sz w:val="20"/>
              <w:color w:val="000000"/>
            </w:rPr>
            <w:t xml:space="preserve">Results below distinguish imputed treatment-policy estimates from observed responder proportions. The main data cut-off was 11 May 2020; PK and antibody data cut-off was 1 July 2020. (CSR pp. 2, 58, 87-94.) At week 68, treatment-policy estimated mean body-weight change was −14.85% with semaglutide versus −2.41% with placebo; difference −12.44 percentage points (95% CI −13.37 to −11.51; p&lt;0.0001). The ≥5% weight-loss odds ratio was 11.22 (95% CI 8.88 to 14.19; p&lt;0.0001). (CSR pp. 87, 89, 93; Tables 11-1 and 11-2.)</w:t>
          </w:r>
        </w:sdtContent>
      </w:sdt>
    </w:p>
    <w:p>
      <w:pPr>
        <w:pStyle w:val="Subheadinglvl2Working"/>
        <w:rPr/>
      </w:pPr>
      <w:r>
        <w:rPr/>
        <w:t>Summary of efficacy outcomes</w:t>
      </w:r>
    </w:p>
    <w:p>
      <w:pPr>
        <w:pStyle w:val="Subheadinglvl2Working"/>
        <w:rPr>
          <w:i w:val="false"/>
          <w:iCs/>
          <w:color w:val="C00000"/>
        </w:rPr>
      </w:pPr>
      <w:r>
        <w:rPr>
          <w:i w:val="false"/>
          <w:iCs/>
          <w:color w:val="C00000"/>
        </w:rPr>
        <w:t>Provide a table similar to the example below summarizing key efficacy outcomes for the studies. For any included figures, indicate the data source including citation (and corresponding figure number in the clinical study report where applicable).</w:t>
      </w:r>
    </w:p>
    <w:p>
      <w:pPr>
        <w:pStyle w:val="InstructionsWorking"/>
        <w:numPr>
          <w:ilvl w:val="0"/>
          <w:numId w:val="0"/>
        </w:numPr>
        <w:ind w:hanging="0" w:start="0"/>
        <w:rPr>
          <w:sz w:val="20"/>
          <w:szCs w:val="20"/>
        </w:rPr>
      </w:pPr>
      <w:r>
        <w:rPr>
          <w:sz w:val="20"/>
          <w:szCs w:val="20"/>
        </w:rPr>
        <w:t>For time-to-event analyses overall frequency of events, number of patients censored, and time of follow-up (e.g., total days of follow-up, median or mean time of follow-up) for each stratum should be presented descriptively.</w:t>
      </w:r>
    </w:p>
    <w:p>
      <w:pPr>
        <w:pStyle w:val="InstructionsWorking"/>
        <w:numPr>
          <w:ilvl w:val="0"/>
          <w:numId w:val="0"/>
        </w:numPr>
        <w:ind w:hanging="0" w:start="0"/>
        <w:rPr>
          <w:sz w:val="20"/>
          <w:szCs w:val="20"/>
        </w:rPr>
      </w:pPr>
      <w:r>
        <w:rPr>
          <w:sz w:val="20"/>
          <w:szCs w:val="20"/>
        </w:rPr>
        <w:t xml:space="preserve">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at relevant time points for outcomes from time-to-event analyses. Absolute effects and their confidence intervals are essential for the review team’s appraisal of the clinical importance of the reported effects. </w:t>
      </w:r>
    </w:p>
    <w:p>
      <w:pPr>
        <w:pStyle w:val="TableTitleCADTH"/>
        <w:spacing w:lineRule="auto" w:line="360" w:before="240" w:after="0"/>
        <w:rPr>
          <w:color w:val="auto"/>
          <w:sz w:val="20"/>
          <w:szCs w:val="20"/>
        </w:rPr>
      </w:pPr>
      <w:r>
        <w:rPr>
          <w:color w:val="auto"/>
          <w:sz w:val="20"/>
          <w:szCs w:val="20"/>
        </w:rPr>
        <w:t xml:space="preserve">Table </w:t>
      </w:r>
      <w:sdt>
        <w:sdtPr>
          <w:alias w:val="Key efficacy outcomes table — number"/>
          <w:id w:val="779540617"/>
        </w:sdtPr>
        <w:sdtContent>
          <w:r>
            <w:rPr>
              <w:rFonts w:ascii="Arial" w:hAnsi="Arial" w:cs="Arial"/>
              <w:sz w:val="20"/>
              <w:color w:val="000000"/>
            </w:rPr>
            <w:t xml:space="preserve">14</w:t>
          </w:r>
        </w:sdtContent>
      </w:sdt>
      <w:r>
        <w:rPr>
          <w:color w:val="auto"/>
          <w:sz w:val="20"/>
          <w:szCs w:val="20"/>
        </w:rPr>
        <w:t>: Sample table for key efficacy outcomes</w:t>
      </w:r>
    </w:p>
    <w:tbl>
      <w:tblPr>
        <w:tblW w:w="47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3227"/>
        <w:gridCol w:w="1698"/>
        <w:gridCol w:w="1700"/>
        <w:gridCol w:w="1778"/>
        <w:gridCol w:w="1502"/>
      </w:tblGrid>
      <w:tr>
        <w:trPr>
          <w:tblHeader/>
          <w:cantSplit/>
        </w:trPr>
        <w:tc>
          <w:tcPr>
            <w:tcW w:w="3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val="auto"/>
                <w:szCs w:val="18"/>
              </w:rPr>
            </w:pPr>
            <w:r>
              <w:rPr>
                <w:color w:val="auto"/>
                <w:szCs w:val="18"/>
              </w:rPr>
            </w:r>
          </w:p>
          <w:p>
            <w:pPr>
              <w:keepNext w:val="0"/>
            </w:pPr>
            <w:sdt>
              <w:sdtPr>
                <w:alias w:val="Completed response — STEP 1 main phase. (CSR pp. 35-36.)"/>
                <w:id w:val="1900000044"/>
              </w:sdtPr>
              <w:sdtContent>
                <w:r>
                  <w:rPr>
                    <w:rFonts w:ascii="Arial" w:hAnsi="Arial"/>
                    <w:color w:val="000000"/>
                    <w:sz w:val="18"/>
                  </w:rPr>
                  <w:t>STEP 1 main phase. (CSR pp. 35-36.)</w:t>
                </w:r>
              </w:sdtContent>
            </w:sdt>
          </w:p>
        </w:tc>
        <w:tc>
          <w:tcPr>
            <w:tcW w:w="169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1</w:t>
            </w:r>
          </w:p>
          <w:p>
            <w:pPr>
              <w:pStyle w:val="TableHeadingCADTH"/>
              <w:spacing w:before="20" w:after="20"/>
              <w:jc w:val="center"/>
              <w:rPr/>
            </w:pPr>
            <w:sdt>
              <w:sdtPr>
                <w:alias w:val="Key efficacy outcomes — Study 1 treatment 1"/>
                <w:id w:val="970765608"/>
              </w:sdtPr>
              <w:sdtContent>
                <w:r>
                  <w:rPr>
                    <w:rFonts w:ascii="Arial" w:hAnsi="Arial" w:cs="Arial"/>
                    <w:sz w:val="18"/>
                    <w:color w:val="000000"/>
                  </w:rPr>
                  <w:t xml:space="preserve">Semaglutide 2.4 mg (CSR p. 65.)</w:t>
                </w:r>
              </w:sdtContent>
            </w:sdt>
          </w:p>
          <w:p>
            <w:pPr>
              <w:pStyle w:val="TableHeadingCADTH"/>
              <w:spacing w:before="20" w:after="20"/>
              <w:jc w:val="center"/>
              <w:rPr/>
            </w:pPr>
            <w:sdt>
              <w:sdtPr>
                <w:alias w:val="Key efficacy outcomes — Study 1 treatment 1 sample size"/>
                <w:id w:val="526295874"/>
              </w:sdtPr>
              <w:sdtContent>
                <w:r>
                  <w:rPr>
                    <w:rFonts w:ascii="Arial" w:hAnsi="Arial" w:cs="Arial"/>
                    <w:sz w:val="18"/>
                    <w:color w:val="000000"/>
                  </w:rPr>
                  <w:t xml:space="preserve">1,306 (CSR p. 65.)</w:t>
                </w:r>
              </w:sdtContent>
            </w:sdt>
          </w:p>
        </w:tc>
        <w:tc>
          <w:tcPr>
            <w:tcW w:w="170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1</w:t>
            </w:r>
          </w:p>
          <w:p>
            <w:pPr>
              <w:pStyle w:val="TableHeadingCADTH"/>
              <w:spacing w:before="20" w:after="20"/>
              <w:jc w:val="center"/>
              <w:rPr/>
            </w:pPr>
            <w:sdt>
              <w:sdtPr>
                <w:alias w:val="Key efficacy outcomes — Study 1 treatment 2"/>
                <w:id w:val="311876416"/>
              </w:sdtPr>
              <w:sdtContent>
                <w:r>
                  <w:rPr>
                    <w:rFonts w:ascii="Arial" w:hAnsi="Arial" w:cs="Arial"/>
                    <w:sz w:val="18"/>
                    <w:color w:val="000000"/>
                  </w:rPr>
                  <w:t xml:space="preserve">Placebo (CSR p. 65.)</w:t>
                </w:r>
              </w:sdtContent>
            </w:sdt>
          </w:p>
          <w:p>
            <w:pPr>
              <w:pStyle w:val="TableHeadingCADTH"/>
              <w:spacing w:before="20" w:after="20"/>
              <w:jc w:val="center"/>
              <w:rPr/>
            </w:pPr>
            <w:sdt>
              <w:sdtPr>
                <w:alias w:val="Key efficacy outcomes — Study 1 treatment 2 sample size"/>
                <w:id w:val="2111493099"/>
              </w:sdtPr>
              <w:sdtContent>
                <w:r>
                  <w:rPr>
                    <w:rFonts w:ascii="Arial" w:hAnsi="Arial" w:cs="Arial"/>
                    <w:sz w:val="18"/>
                    <w:color w:val="000000"/>
                  </w:rPr>
                  <w:t xml:space="preserve">655 (CSR p. 65.)</w:t>
                </w:r>
              </w:sdtContent>
            </w:sdt>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2</w:t>
            </w:r>
          </w:p>
          <w:p>
            <w:pPr>
              <w:pStyle w:val="TableHeadingCADTH"/>
              <w:spacing w:before="20" w:after="20"/>
              <w:jc w:val="center"/>
              <w:rPr/>
            </w:pPr>
            <w:sdt>
              <w:sdtPr>
                <w:alias w:val="Key efficacy outcomes — Study 2 treatment 1"/>
                <w:id w:val="7054391"/>
              </w:sdtPr>
              <w:sdtContent>
                <w:r>
                  <w:rPr>
                    <w:rFonts w:ascii="Arial" w:hAnsi="Arial" w:cs="Arial"/>
                    <w:sz w:val="18"/>
                    <w:color w:val="000000"/>
                  </w:rPr>
                  <w:t xml:space="preserve">Second study not reported. (CSR pp. 1, 32.)</w:t>
                </w:r>
              </w:sdtContent>
            </w:sdt>
          </w:p>
          <w:p>
            <w:pPr>
              <w:pStyle w:val="TableHeadingCADTH"/>
              <w:spacing w:before="20" w:after="20"/>
              <w:jc w:val="center"/>
              <w:rPr/>
            </w:pPr>
            <w:sdt>
              <w:sdtPr>
                <w:alias w:val="Key efficacy outcomes — Study 2 treatment 1 sample size"/>
                <w:id w:val="1549905489"/>
              </w:sdtPr>
              <w:sdtContent>
                <w:r>
                  <w:rPr>
                    <w:rFonts w:ascii="Arial" w:hAnsi="Arial" w:cs="Arial"/>
                    <w:sz w:val="18"/>
                    <w:color w:val="000000"/>
                  </w:rPr>
                  <w:t xml:space="preserve">Second study not reported. (CSR pp. 1, 32.)</w:t>
                </w:r>
              </w:sdtContent>
            </w:sdt>
          </w:p>
        </w:tc>
        <w:tc>
          <w:tcPr>
            <w:tcW w:w="150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2</w:t>
            </w:r>
          </w:p>
          <w:p>
            <w:pPr>
              <w:pStyle w:val="TableHeadingCADTH"/>
              <w:spacing w:before="20" w:after="20"/>
              <w:jc w:val="center"/>
              <w:rPr/>
            </w:pPr>
            <w:sdt>
              <w:sdtPr>
                <w:alias w:val="Key efficacy outcomes — Study 2 treatment 2"/>
                <w:id w:val="1694630794"/>
              </w:sdtPr>
              <w:sdtContent>
                <w:r>
                  <w:rPr>
                    <w:rFonts w:ascii="Arial" w:hAnsi="Arial" w:cs="Arial"/>
                    <w:sz w:val="18"/>
                    <w:color w:val="000000"/>
                  </w:rPr>
                  <w:t xml:space="preserve">Second study not reported. (CSR pp. 1, 32.)</w:t>
                </w:r>
              </w:sdtContent>
            </w:sdt>
          </w:p>
          <w:p>
            <w:pPr>
              <w:pStyle w:val="TableHeadingCADTH"/>
              <w:spacing w:before="20" w:after="20"/>
              <w:jc w:val="center"/>
              <w:rPr/>
            </w:pPr>
            <w:sdt>
              <w:sdtPr>
                <w:alias w:val="Key efficacy outcomes — Study 2 treatment 2 sample size"/>
                <w:id w:val="1780355161"/>
              </w:sdtPr>
              <w:sdtContent>
                <w:r>
                  <w:rPr>
                    <w:rFonts w:ascii="Arial" w:hAnsi="Arial" w:cs="Arial"/>
                    <w:sz w:val="18"/>
                    <w:color w:val="000000"/>
                  </w:rPr>
                  <w:t xml:space="preserve">Second study not reported. (CSR pp. 1, 32.)</w:t>
                </w:r>
              </w:sdtContent>
            </w:sdt>
          </w:p>
        </w:tc>
      </w:tr>
      <w:tr>
        <w:trPr>
          <w:cantSplit/>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1 name"/>
                <w:id w:val="816315485"/>
              </w:sdtPr>
              <w:sdtContent>
                <w:r>
                  <w:rPr>
                    <w:rFonts w:ascii="Arial" w:hAnsi="Arial" w:cs="Arial"/>
                    <w:sz w:val="18"/>
                    <w:color w:val="000000"/>
                  </w:rPr>
                  <w:t xml:space="preserve">Body-weight change (%) at week 68* (CSR p. 87.)</w:t>
                </w:r>
              </w:sdtContent>
            </w:sdt>
          </w:p>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Number of patients contributing to the analysis</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1"/>
              <w:id w:val="239039042"/>
            </w:sdtPr>
            <w:sdtContent>
              <w:p>
                <w:pPr>
                  <w:pStyle w:val="BodyCopyWorking"/>
                </w:pPr>
                <w:r>
                  <w:rPr>
                    <w:rFonts w:ascii="Arial" w:hAnsi="Arial" w:cs="Arial"/>
                    <w:sz w:val="18"/>
                    <w:color w:val="000000"/>
                  </w:rPr>
                  <w:t xml:space="preserve">FAS 1,306; observed at week 68: 1,212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2"/>
              <w:id w:val="1557017567"/>
            </w:sdtPr>
            <w:sdtContent>
              <w:p>
                <w:pPr>
                  <w:pStyle w:val="BodyCopyWorking"/>
                </w:pPr>
                <w:r>
                  <w:rPr>
                    <w:rFonts w:ascii="Arial" w:hAnsi="Arial" w:cs="Arial"/>
                    <w:sz w:val="18"/>
                    <w:color w:val="000000"/>
                  </w:rPr>
                  <w:t xml:space="preserve">FAS 655; observed at week 68: 577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1"/>
              <w:id w:val="1352217550"/>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2"/>
              <w:id w:val="324590986"/>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Baseline, mean (SD)</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1"/>
              <w:id w:val="17731659"/>
            </w:sdtPr>
            <w:sdtContent>
              <w:p>
                <w:pPr>
                  <w:pStyle w:val="BodyCopyWorking"/>
                </w:pPr>
                <w:r>
                  <w:rPr>
                    <w:rFonts w:ascii="Arial" w:hAnsi="Arial" w:cs="Arial"/>
                    <w:sz w:val="18"/>
                    <w:color w:val="000000"/>
                  </w:rPr>
                  <w:t xml:space="preserve">Body weight: 105.4 (22.1) kg (CSR p. 70.)</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2"/>
              <w:id w:val="667974963"/>
            </w:sdtPr>
            <w:sdtContent>
              <w:p>
                <w:pPr>
                  <w:pStyle w:val="BodyCopyWorking"/>
                </w:pPr>
                <w:r>
                  <w:rPr>
                    <w:rFonts w:ascii="Arial" w:hAnsi="Arial" w:cs="Arial"/>
                    <w:sz w:val="18"/>
                    <w:color w:val="000000"/>
                  </w:rPr>
                  <w:t xml:space="preserve">Body weight: 105.2 (21.5) kg (CSR p. 70.)</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1"/>
              <w:id w:val="502404951"/>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2"/>
              <w:id w:val="1985777254"/>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Change from baseline, mean (95% CI preferred; SE if not available)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1"/>
              <w:id w:val="1130296438"/>
            </w:sdtPr>
            <w:sdtContent>
              <w:p>
                <w:pPr>
                  <w:pStyle w:val="BodyCopyWorking"/>
                </w:pPr>
                <w:r>
                  <w:rPr>
                    <w:rFonts w:ascii="Arial" w:hAnsi="Arial" w:cs="Arial"/>
                    <w:sz w:val="18"/>
                    <w:color w:val="000000"/>
                  </w:rPr>
                  <w:t xml:space="preserve">−14.85%; arm-specific CI/SE not reported in primary analysis table.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2"/>
              <w:id w:val="120249606"/>
            </w:sdtPr>
            <w:sdtContent>
              <w:p>
                <w:pPr>
                  <w:pStyle w:val="BodyCopyWorking"/>
                </w:pPr>
                <w:r>
                  <w:rPr>
                    <w:rFonts w:ascii="Arial" w:hAnsi="Arial" w:cs="Arial"/>
                    <w:sz w:val="18"/>
                    <w:color w:val="000000"/>
                  </w:rPr>
                  <w:t xml:space="preserve">−2.41%; arm-specific CI/SE not reported in primary analysis table.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1"/>
              <w:id w:val="1348377435"/>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2"/>
              <w:id w:val="493487227"/>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Treatment group difference versus control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1"/>
              <w:id w:val="556859281"/>
            </w:sdtPr>
            <w:sdtContent>
              <w:p>
                <w:pPr>
                  <w:pStyle w:val="BodyCopyWorking"/>
                </w:pPr>
                <w:r>
                  <w:rPr>
                    <w:rFonts w:ascii="Arial" w:hAnsi="Arial" w:cs="Arial"/>
                    <w:sz w:val="18"/>
                    <w:color w:val="000000"/>
                  </w:rPr>
                  <w:t xml:space="preserve">−12.44 percentage points (95% CI −13.37 to −11.51)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2"/>
              <w:id w:val="219765973"/>
            </w:sdtPr>
            <w:sdtContent>
              <w:p>
                <w:pPr>
                  <w:pStyle w:val="BodyCopyWorking"/>
                </w:pPr>
                <w:r>
                  <w:rPr>
                    <w:rFonts w:ascii="Arial" w:hAnsi="Arial" w:cs="Arial"/>
                    <w:sz w:val="18"/>
                    <w:color w:val="000000"/>
                  </w:rPr>
                  <w:t xml:space="preserve">Reference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1"/>
              <w:id w:val="1454700321"/>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2"/>
              <w:id w:val="678192564"/>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1"/>
              <w:id w:val="36572933"/>
            </w:sdtPr>
            <w:sdtContent>
              <w:p>
                <w:pPr>
                  <w:pStyle w:val="BodyCopyWorking"/>
                </w:pPr>
                <w:r>
                  <w:rPr>
                    <w:rFonts w:ascii="Arial" w:hAnsi="Arial" w:cs="Arial"/>
                    <w:sz w:val="18"/>
                    <w:color w:val="000000"/>
                  </w:rPr>
                  <w:t xml:space="preserve">&lt;0.0001; unadjusted p; hierarchy controlled*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2"/>
              <w:id w:val="1404990713"/>
            </w:sdtPr>
            <w:sdtContent>
              <w:p>
                <w:pPr>
                  <w:pStyle w:val="BodyCopyWorking"/>
                </w:pPr>
                <w:r>
                  <w:rPr>
                    <w:rFonts w:ascii="Arial" w:hAnsi="Arial" w:cs="Arial"/>
                    <w:sz w:val="18"/>
                    <w:color w:val="000000"/>
                  </w:rPr>
                  <w:t xml:space="preserve">Same comparison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1"/>
              <w:id w:val="2078074349"/>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2"/>
              <w:id w:val="594386837"/>
            </w:sdtPr>
            <w:sdtContent>
              <w:p>
                <w:pPr>
                  <w:pStyle w:val="BodyCopyWorking"/>
                </w:pPr>
                <w:r>
                  <w:rPr>
                    <w:rFonts w:ascii="Arial" w:hAnsi="Arial" w:cs="Arial"/>
                    <w:sz w:val="18"/>
                    <w:color w:val="000000"/>
                  </w:rPr>
                  <w:t xml:space="preserve">Second study not reported. (CSR pp. 1, 32.)</w:t>
                </w:r>
              </w:p>
            </w:sdtContent>
          </w:sdt>
        </w:tc>
      </w:tr>
      <w:tr>
        <w:trPr>
          <w:cantSplit/>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2 name"/>
                <w:id w:val="1409617373"/>
              </w:sdtPr>
              <w:sdtContent>
                <w:r>
                  <w:rPr>
                    <w:rFonts w:ascii="Arial" w:hAnsi="Arial" w:cs="Arial"/>
                    <w:sz w:val="18"/>
                    <w:color w:val="000000"/>
                  </w:rPr>
                  <w:t xml:space="preserve">≥5% weight loss at week 68* (CSR p. 87.)</w:t>
                </w:r>
              </w:sdtContent>
            </w:sdt>
          </w:p>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1"/>
              <w:id w:val="114770077"/>
            </w:sdtPr>
            <w:sdtContent>
              <w:p>
                <w:pPr>
                  <w:pStyle w:val="BodyCopyWorking"/>
                </w:pPr>
                <w:r>
                  <w:rPr>
                    <w:rFonts w:ascii="Arial" w:hAnsi="Arial" w:cs="Arial"/>
                    <w:sz w:val="18"/>
                    <w:color w:val="000000"/>
                  </w:rPr>
                  <w:t xml:space="preserve">1,047/1,212 (86.4%), observed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2"/>
              <w:id w:val="1041734719"/>
            </w:sdtPr>
            <w:sdtContent>
              <w:p>
                <w:pPr>
                  <w:pStyle w:val="BodyCopyWorking"/>
                </w:pPr>
                <w:r>
                  <w:rPr>
                    <w:rFonts w:ascii="Arial" w:hAnsi="Arial" w:cs="Arial"/>
                    <w:sz w:val="18"/>
                    <w:color w:val="000000"/>
                  </w:rPr>
                  <w:t xml:space="preserve">182/577 (31.5%), observed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1"/>
              <w:id w:val="744183689"/>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2"/>
              <w:id w:val="1985036621"/>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OR/RR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1"/>
              <w:id w:val="1324230232"/>
            </w:sdtPr>
            <w:sdtContent>
              <w:p>
                <w:pPr>
                  <w:pStyle w:val="BodyCopyWorking"/>
                </w:pPr>
                <w:r>
                  <w:rPr>
                    <w:rFonts w:ascii="Arial" w:hAnsi="Arial" w:cs="Arial"/>
                    <w:sz w:val="18"/>
                    <w:color w:val="000000"/>
                  </w:rPr>
                  <w:t xml:space="preserve">OR 11.22 (95% CI 8.88-14.19), treatment-policy analysis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2"/>
              <w:id w:val="998044773"/>
            </w:sdtPr>
            <w:sdtContent>
              <w:p>
                <w:pPr>
                  <w:pStyle w:val="BodyCopyWorking"/>
                </w:pPr>
                <w:r>
                  <w:rPr>
                    <w:rFonts w:ascii="Arial" w:hAnsi="Arial" w:cs="Arial"/>
                    <w:sz w:val="18"/>
                    <w:color w:val="000000"/>
                  </w:rPr>
                  <w:t xml:space="preserve">Reference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1"/>
              <w:id w:val="247785519"/>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2"/>
              <w:id w:val="842433737"/>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RD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1"/>
              <w:id w:val="325928357"/>
            </w:sdtPr>
            <w:sdtContent>
              <w:p>
                <w:pPr>
                  <w:pStyle w:val="BodyCopyWorking"/>
                </w:pPr>
                <w:r>
                  <w:rPr>
                    <w:rFonts w:ascii="Arial" w:hAnsi="Arial" w:cs="Arial"/>
                    <w:sz w:val="18"/>
                    <w:color w:val="000000"/>
                  </w:rPr>
                  <w:t xml:space="preserve">RD and 95% CI not reported in CSR analysis table.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2"/>
              <w:id w:val="647039107"/>
            </w:sdtPr>
            <w:sdtContent>
              <w:p>
                <w:pPr>
                  <w:pStyle w:val="BodyCopyWorking"/>
                </w:pPr>
                <w:r>
                  <w:rPr>
                    <w:rFonts w:ascii="Arial" w:hAnsi="Arial" w:cs="Arial"/>
                    <w:sz w:val="18"/>
                    <w:color w:val="000000"/>
                  </w:rPr>
                  <w:t xml:space="preserve">RD and 95% CI not reported in CSR analysis table.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1"/>
              <w:id w:val="1510114055"/>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2"/>
              <w:id w:val="1583180966"/>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1"/>
              <w:id w:val="1550051902"/>
            </w:sdtPr>
            <w:sdtContent>
              <w:p>
                <w:pPr>
                  <w:pStyle w:val="BodyCopyWorking"/>
                </w:pPr>
                <w:r>
                  <w:rPr>
                    <w:rFonts w:ascii="Arial" w:hAnsi="Arial" w:cs="Arial"/>
                    <w:sz w:val="18"/>
                    <w:color w:val="000000"/>
                  </w:rPr>
                  <w:t xml:space="preserve">&lt;0.0001; unadjusted p; hierarchy controlled* (CSR pp. 87, 93, 333, 344; Tables 11-1, 11-2, 14.2.9, 14.2.24.)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2"/>
              <w:id w:val="1795863016"/>
            </w:sdtPr>
            <w:sdtContent>
              <w:p>
                <w:pPr>
                  <w:pStyle w:val="BodyCopyWorking"/>
                </w:pPr>
                <w:r>
                  <w:rPr>
                    <w:rFonts w:ascii="Arial" w:hAnsi="Arial" w:cs="Arial"/>
                    <w:sz w:val="18"/>
                    <w:color w:val="000000"/>
                  </w:rPr>
                  <w:t xml:space="preserve">Same comparison (CSR pp. 87, 93, 333, 344; Tables 11-1, 11-2, 14.2.9, 14.2.24.)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1"/>
              <w:id w:val="240851443"/>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2"/>
              <w:id w:val="370790387"/>
            </w:sdtPr>
            <w:sdtContent>
              <w:p>
                <w:pPr>
                  <w:pStyle w:val="BodyCopyWorking"/>
                </w:pPr>
                <w:r>
                  <w:rPr>
                    <w:rFonts w:ascii="Arial" w:hAnsi="Arial" w:cs="Arial"/>
                    <w:sz w:val="18"/>
                    <w:color w:val="000000"/>
                  </w:rPr>
                  <w:t xml:space="preserve">Second study not reported. (CSR pp. 1, 32.)</w:t>
                </w:r>
              </w:p>
            </w:sdtContent>
          </w:sdt>
        </w:tc>
      </w:tr>
      <w:tr>
        <w:trPr>
          <w:cantSplit/>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3 name"/>
                <w:id w:val="1622066083"/>
              </w:sdtPr>
              <w:sdtContent>
                <w:r>
                  <w:rPr>
                    <w:rFonts w:ascii="Arial" w:hAnsi="Arial" w:cs="Arial"/>
                    <w:sz w:val="18"/>
                    <w:color w:val="000000"/>
                  </w:rPr>
                  <w:t xml:space="preserve">Survival efficacy: not evaluated. (CSR pp. 59-61.)</w:t>
                </w:r>
              </w:sdtContent>
            </w:sdt>
          </w:p>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Events,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1"/>
              <w:id w:val="1880703258"/>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2"/>
              <w:id w:val="2090084810"/>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1"/>
              <w:id w:val="1309615090"/>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2"/>
              <w:id w:val="2052284880"/>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Censored,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1"/>
              <w:id w:val="47096707"/>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2"/>
              <w:id w:val="92132039"/>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1"/>
              <w:id w:val="315332718"/>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2"/>
              <w:id w:val="2095235444"/>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Censoring reason 1 (add rows as needed),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1"/>
              <w:id w:val="680809139"/>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2"/>
              <w:id w:val="1557881836"/>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1"/>
              <w:id w:val="558742884"/>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2"/>
              <w:id w:val="2141751981"/>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Overall survival (months), median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1"/>
              <w:id w:val="169209948"/>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2"/>
              <w:id w:val="1368586605"/>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1"/>
              <w:id w:val="2045086494"/>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2"/>
              <w:id w:val="1494493718"/>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HR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1"/>
              <w:id w:val="944524229"/>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2"/>
              <w:id w:val="1620591155"/>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1"/>
              <w:id w:val="1811673221"/>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2"/>
              <w:id w:val="705423006"/>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1"/>
              <w:id w:val="1233171528"/>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2"/>
              <w:id w:val="1191145088"/>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1"/>
              <w:id w:val="611795967"/>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2"/>
              <w:id w:val="1282041341"/>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Survival probability (%) at </w:t>
            </w:r>
            <w:sdt>
              <w:sdtPr>
                <w:alias w:val="Key efficacy outcomes — Outcome 3 — survival probability time point in months"/>
                <w:id w:val="1632463656"/>
              </w:sdtPr>
              <w:sdtContent>
                <w:r>
                  <w:rPr>
                    <w:rFonts w:ascii="Arial" w:hAnsi="Arial" w:cs="Arial"/>
                    <w:sz w:val="18"/>
                    <w:color w:val="000000"/>
                  </w:rPr>
                  <w:t xml:space="preserve">Not applicable</w:t>
                </w:r>
              </w:sdtContent>
            </w:sdt>
            <w:r>
              <w:rPr>
                <w:color w:val="C00000"/>
              </w:rPr>
              <w:t xml:space="preserve"> months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1"/>
              <w:id w:val="1926740996"/>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2"/>
              <w:id w:val="1393534921"/>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1"/>
              <w:id w:val="187416815"/>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2"/>
              <w:id w:val="1760325047"/>
            </w:sdtPr>
            <w:sdtContent>
              <w:p>
                <w:pPr>
                  <w:pStyle w:val="BodyCopyWorking"/>
                </w:pPr>
                <w:r>
                  <w:rPr>
                    <w:rFonts w:ascii="Arial" w:hAnsi="Arial" w:cs="Arial"/>
                    <w:sz w:val="18"/>
                    <w:color w:val="000000"/>
                  </w:rPr>
                  <w:t xml:space="preserve">Second study not reported. (CSR pp. 1, 32.)</w:t>
                </w:r>
              </w:p>
            </w:sdtContent>
          </w:sdt>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Difference in survival probability (%)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1"/>
              <w:id w:val="2072005852"/>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2"/>
              <w:id w:val="1359029344"/>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1"/>
              <w:id w:val="1931069503"/>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2"/>
              <w:id w:val="1602259726"/>
            </w:sdtPr>
            <w:sdtContent>
              <w:p>
                <w:pPr>
                  <w:pStyle w:val="BodyCopyWorking"/>
                </w:pPr>
                <w:r>
                  <w:rPr>
                    <w:rFonts w:ascii="Arial" w:hAnsi="Arial" w:cs="Arial"/>
                    <w:sz w:val="18"/>
                    <w:color w:val="000000"/>
                  </w:rPr>
                  <w:t xml:space="preserve">Second study not reported. (CSR pp. 1, 32.)</w:t>
                </w:r>
              </w:p>
            </w:sdtContent>
          </w:sdt>
        </w:tc>
      </w:tr>
      <w:tr>
        <w:trPr>
          <w:cantSplit/>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pPr>
            <w:sdt>
              <w:sdtPr>
                <w:alias w:val="Key efficacy outcomes — outcome 4 name"/>
                <w:id w:val="1461528535"/>
              </w:sdtPr>
              <w:sdtContent>
                <w:r>
                  <w:rPr>
                    <w:rFonts w:ascii="Arial" w:hAnsi="Arial" w:cs="Arial"/>
                    <w:sz w:val="18"/>
                    <w:color w:val="000000"/>
                  </w:rPr>
                  <w:t xml:space="preserve">Additional outcomes summarized in text. (CSR pp. 87, 97, 114, 119.)</w:t>
                </w:r>
              </w:sdtContent>
            </w:sdt>
          </w:p>
        </w:tc>
      </w:tr>
      <w:tr>
        <w:trPr>
          <w:cantSplit/>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As above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1"/>
              <w:id w:val="1961759050"/>
            </w:sdtPr>
            <w:sdtContent>
              <w:p>
                <w:pPr>
                  <w:pStyle w:val="BodyCopyWorking"/>
                </w:pPr>
                <w:r>
                  <w:rPr>
                    <w:rFonts w:ascii="Arial" w:hAnsi="Arial" w:cs="Arial"/>
                    <w:sz w:val="18"/>
                    <w:color w:val="000000"/>
                  </w:rPr>
                  <w:t xml:space="preserve">Not reported; survival efficacy not evaluated. (CSR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2"/>
              <w:id w:val="1310400713"/>
            </w:sdtPr>
            <w:sdtContent>
              <w:p>
                <w:pPr>
                  <w:pStyle w:val="BodyCopyWorking"/>
                </w:pPr>
                <w:r>
                  <w:rPr>
                    <w:rFonts w:ascii="Arial" w:hAnsi="Arial" w:cs="Arial"/>
                    <w:sz w:val="18"/>
                    <w:color w:val="000000"/>
                  </w:rPr>
                  <w:t xml:space="preserve">Not reported; survival efficacy not evaluated. (CSR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1"/>
              <w:id w:val="1318587757"/>
            </w:sdtPr>
            <w:sdtContent>
              <w:p>
                <w:pPr>
                  <w:pStyle w:val="BodyCopyWorking"/>
                </w:pPr>
                <w:r>
                  <w:rPr>
                    <w:rFonts w:ascii="Arial" w:hAnsi="Arial" w:cs="Arial"/>
                    <w:sz w:val="18"/>
                    <w:color w:val="000000"/>
                  </w:rPr>
                  <w:t xml:space="preserve">Second study not reported. (CSR pp. 1, 32.)</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2"/>
              <w:id w:val="531843204"/>
            </w:sdtPr>
            <w:sdtContent>
              <w:p>
                <w:pPr>
                  <w:pStyle w:val="BodyCopyWorking"/>
                </w:pPr>
                <w:r>
                  <w:rPr>
                    <w:rFonts w:ascii="Arial" w:hAnsi="Arial" w:cs="Arial"/>
                    <w:sz w:val="18"/>
                    <w:color w:val="000000"/>
                  </w:rPr>
                  <w:t xml:space="preserve">Second study not reported. (CSR pp. 1, 32.)</w:t>
                </w:r>
              </w:p>
            </w:sdtContent>
          </w:sdt>
        </w:tc>
      </w:tr>
    </w:tbl>
    <w:p>
      <w:pPr>
        <w:pStyle w:val="TableFooterCADTH"/>
        <w:rPr>
          <w:color w:val="C00000"/>
        </w:rPr>
      </w:pPr>
      <w:r>
        <w:rPr>
          <w:color w:val="C00000"/>
        </w:rPr>
        <w:t>Abbreviations must be listed under the table in alphabetical order. For example, CI = confidence interval; FAS = full analysis set; RR = relative risk; OR = odds ratio.</w:t>
      </w:r>
    </w:p>
    <w:p>
      <w:pPr>
        <w:pStyle w:val="TableFooterCADTH"/>
        <w:rPr>
          <w:color w:val="C00000"/>
        </w:rPr>
      </w:pPr>
      <w:r>
        <w:rPr>
          <w:color w:val="C00000"/>
          <w:vertAlign w:val="superscript"/>
        </w:rPr>
        <w:t xml:space="preserve">a </w:t>
      </w:r>
      <w:r>
        <w:rPr>
          <w:color w:val="C00000"/>
        </w:rPr>
        <w:t>Specify if the P-value has been adjusted for multiple testing using a superscript ‘a’</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sdt>
        <w:sdtPr>
          <w:alias w:val="Systematic review — efficacy outcome 1 heading"/>
          <w:id w:val="2059624488"/>
        </w:sdtPr>
        <w:sdtContent>
          <w:r>
            <w:rPr>
              <w:rFonts w:ascii="Arial" w:hAnsi="Arial" w:cs="Arial"/>
              <w:sz w:val="20"/>
              <w:color w:val="000000"/>
            </w:rPr>
            <w:t xml:space="preserve">Body-weight change (%) at week 68 (CSR p. 87.)</w:t>
          </w:r>
        </w:sdtContent>
      </w:sdt>
      <w:r>
        <w:rPr/>
        <w:t xml:space="preserve"> </w:t>
      </w:r>
    </w:p>
    <w:p>
      <w:pPr>
        <w:pStyle w:val="InstructionsWorking"/>
        <w:numPr>
          <w:ilvl w:val="0"/>
          <w:numId w:val="0"/>
        </w:numPr>
        <w:ind w:hanging="0" w:start="0"/>
        <w:rPr>
          <w:sz w:val="20"/>
          <w:szCs w:val="20"/>
        </w:rPr>
      </w:pPr>
      <w:sdt>
        <w:sdtPr>
          <w:alias w:val="Systematic review — efficacy outcome 1 narrative"/>
          <w:id w:val="852036331"/>
        </w:sdtPr>
        <w:sdtContent>
          <w:r>
            <w:rPr>
              <w:rFonts w:ascii="Arial" w:hAnsi="Arial" w:cs="Arial"/>
              <w:sz w:val="20"/>
              <w:color w:val="000000"/>
            </w:rPr>
            <w:t xml:space="preserve">Body-weight change (%) at week 68. At week 68, treatment-policy estimated mean body-weight change was −14.85% with semaglutide versus −2.41% with placebo; difference −12.44 percentage points (95% CI −13.37 to −11.51; p&lt;0.0001). The ≥5% weight-loss odds ratio was 11.22 (95% CI 8.88 to 14.19; p&lt;0.0001). (CSR pp. 87, 89, 93; Tables 11-1 and 11-2.) Sensitivity ETDs: jump-to-reference −11.94 (95% CI −12.83 to −11.04); single-imputation S1 −12.46 (−13.32 to −11.61); S2 −12.35 (−13.21 to −11.50); MMRM −12.83 (−13.70 to −11.96), all p&lt;0.0001. No tipping point was reached over tested penalties −30% to +30%. Hypothetical-estimand ETD: −14.42 (−15.29 to −13.55). (CSR pp. 90-92, 334, Table 14.2.11.)</w:t>
          </w:r>
        </w:sdtContent>
      </w:sdt>
      <w:r>
        <w:rPr>
          <w:sz w:val="20"/>
          <w:szCs w:val="20"/>
        </w:rPr>
        <w:t xml:space="preserve"> </w:t>
      </w:r>
    </w:p>
    <w:p>
      <w:pPr>
        <w:pStyle w:val="InstructionsWorking"/>
        <w:numPr>
          <w:ilvl w:val="0"/>
          <w:numId w:val="0"/>
        </w:numPr>
        <w:ind w:hanging="0" w:start="0"/>
        <w:rPr>
          <w:sz w:val="20"/>
          <w:szCs w:val="20"/>
        </w:rPr>
      </w:pPr>
      <w:r>
        <w:rPr>
          <w:sz w:val="20"/>
          <w:szCs w:val="20"/>
        </w:rPr>
        <w:t>Please avoid the following when presenting results: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Interpreting the difference between two groups as being statistically significant based upon nonoverlapping confidence intervals for the individual within groups change (rather than a statistical test of the difference between groups).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Interpreting the clinical relevance of statistically nonsignificant findings.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Focusing on the clinical relevance of within groups changes rather than the clinical relevance of the difference in the between groups change when there is a comparison group or historical control.</w:t>
      </w:r>
    </w:p>
    <w:p>
      <w:pPr>
        <w:pStyle w:val="InstructionsWorking"/>
        <w:numPr>
          <w:ilvl w:val="0"/>
          <w:numId w:val="0"/>
        </w:numPr>
        <w:ind w:hanging="0" w:start="0"/>
        <w:rPr>
          <w:sz w:val="20"/>
          <w:szCs w:val="20"/>
        </w:rPr>
      </w:pPr>
      <w:r>
        <w:rPr>
          <w:sz w:val="20"/>
          <w:szCs w:val="20"/>
        </w:rPr>
        <w:t>For time-to-event analyses overall frequency of events, number of patients censored, and time of follow-up (e.g., total days of follow-up, median or mean time of follow-up) for each stratum should be presented descriptively.</w:t>
      </w:r>
    </w:p>
    <w:p>
      <w:pPr>
        <w:pStyle w:val="InstructionsWorking"/>
        <w:numPr>
          <w:ilvl w:val="0"/>
          <w:numId w:val="0"/>
        </w:numPr>
        <w:ind w:hanging="0" w:start="0"/>
        <w:rPr>
          <w:sz w:val="20"/>
          <w:szCs w:val="20"/>
        </w:rPr>
      </w:pPr>
      <w:r>
        <w:rPr>
          <w:sz w:val="20"/>
          <w:szCs w:val="20"/>
        </w:rPr>
        <w:t>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for outcomes from time-to-event analyses. Absolute effects are essential for the review team’s appraisal of the clinical importance of the reported effects.</w:t>
      </w:r>
    </w:p>
    <w:p>
      <w:pPr>
        <w:pStyle w:val="InstructionsWorking"/>
        <w:numPr>
          <w:ilvl w:val="0"/>
          <w:numId w:val="0"/>
        </w:numPr>
        <w:ind w:hanging="0" w:start="0"/>
        <w:rPr>
          <w:sz w:val="20"/>
          <w:szCs w:val="20"/>
        </w:rPr>
      </w:pPr>
      <w:r>
        <w:rPr>
          <w:sz w:val="20"/>
          <w:szCs w:val="20"/>
        </w:rPr>
        <w:t xml:space="preserve">Report the results from key sensitivity analyses and subgroup analyses under each of the outcomes. Subgroup analyses should reflect those that are specified within the systematic review protocol. </w:t>
      </w:r>
    </w:p>
    <w:p>
      <w:pPr>
        <w:pStyle w:val="InstructionsWorking"/>
        <w:numPr>
          <w:ilvl w:val="0"/>
          <w:numId w:val="0"/>
        </w:numPr>
        <w:ind w:hanging="0" w:start="0"/>
        <w:rPr>
          <w:sz w:val="20"/>
          <w:szCs w:val="20"/>
        </w:rPr>
      </w:pPr>
      <w:r>
        <w:rPr>
          <w:sz w:val="20"/>
          <w:szCs w:val="20"/>
        </w:rPr>
        <w:t xml:space="preserve">If data within the report are derived from different cut-off dates, please ensure that the dates are clearly specified when reporting the results. </w:t>
      </w:r>
    </w:p>
    <w:p>
      <w:pPr>
        <w:pStyle w:val="Subheadinglvl2Working"/>
        <w:rPr/>
      </w:pPr>
      <w:sdt>
        <w:sdtPr>
          <w:alias w:val="Systematic review — efficacy endpoint 2 heading"/>
          <w:id w:val="824347249"/>
        </w:sdtPr>
        <w:sdtContent>
          <w:r>
            <w:rPr>
              <w:rFonts w:ascii="Arial" w:hAnsi="Arial"/>
              <w:sz w:val="20"/>
              <w:color w:val="000000"/>
            </w:rPr>
            <w:t xml:space="preserve">Body-weight response at week 68. Observed ≥5% loss: 1,047/1,212 (86.4%) versus 182/577 (31.5%). Sensitivity ORs: jump-to-reference 10.22 (95% CI 8.10-12.89), S1 12.38 (9.90-15.48), S2 12.10 (9.68-15.11), MMRM 14.65 (11.65-18.42) and non-responder imputation 10.56 (8.48-13.14), all p&lt;0.0001. (CSR pp. 344, 346, Tables 14.2.24 and 14.2.27.) For ≥10% loss, observed 838/1,212 (69.1%) versus 69/577 (12.0%); OR 14.68 (11.08-19.44). For ≥15% loss, 612/1,212 (50.5%) versus 28/577 (4.9%); OR 19.26 (12.89-28.76); both p&lt;0.0001 within the hierarchy. ≥20% loss was supportive: 388/1,212 (32.0%) versus 10/577 (1.7%). (CSR pp. 87, 344.)</w:t>
          </w:r>
        </w:sdtContent>
      </w:sdt>
    </w:p>
    <w:p>
      <w:pPr>
        <w:pStyle w:val="InstructionsWorking"/>
        <w:numPr>
          <w:ilvl w:val="0"/>
          <w:numId w:val="0"/>
        </w:numPr>
        <w:ind w:hanging="0" w:start="0"/>
        <w:rPr>
          <w:sz w:val="20"/>
          <w:szCs w:val="20"/>
        </w:rPr>
      </w:pPr>
      <w:r>
        <w:rPr>
          <w:sz w:val="20"/>
          <w:szCs w:val="20"/>
        </w:rPr>
        <w:t xml:space="preserve">Please use a separate subheading for each endpoint. </w:t>
      </w:r>
    </w:p>
    <w:p>
      <w:pPr>
        <w:pStyle w:val="Subheadinglvl2Working"/>
        <w:rPr/>
      </w:pPr>
      <w:sdt>
        <w:sdtPr>
          <w:alias w:val="Systematic review — efficacy endpoint 3 heading"/>
          <w:id w:val="1204620523"/>
        </w:sdtPr>
        <w:sdtContent>
          <w:r>
            <w:rPr>
              <w:rFonts w:ascii="Arial" w:hAnsi="Arial"/>
              <w:sz w:val="20"/>
              <w:color w:val="000000"/>
            </w:rPr>
            <w:t xml:space="preserve">Other confirmatory outcomes at week 68. Waist change: −13.54 versus −4.13 cm; difference −9.42 (95% CI −10.30 to −8.53). Systolic BP difference: −5.10 mmHg (−6.34 to −3.87). SF-36 physical functioning change: +2.21 versus +0.41; difference +1.80 (1.18-2.42). IWQOL-Lite-CT physical function change: +14.67 versus +5.25; difference +9.43 (7.50-11.35). All p&lt;0.0001 within the hierarchy. Reported sensitivity analyses supported the conclusions for waist circumference and the two PRO outcomes. (CSR pp. 87, 97, 114, 119.)</w:t>
          </w:r>
        </w:sdtContent>
      </w:sdt>
    </w:p>
    <w:p>
      <w:pPr>
        <w:pStyle w:val="InstructionsWorking"/>
        <w:numPr>
          <w:ilvl w:val="0"/>
          <w:numId w:val="0"/>
        </w:numPr>
        <w:ind w:hanging="0" w:start="0"/>
        <w:rPr>
          <w:sz w:val="20"/>
          <w:szCs w:val="20"/>
        </w:rPr>
      </w:pPr>
      <w:r>
        <w:rPr>
          <w:sz w:val="20"/>
          <w:szCs w:val="20"/>
        </w:rPr>
        <w:t xml:space="preserve">Please use a separate subheading for each endpoint. </w:t>
      </w:r>
    </w:p>
    <w:p>
      <w:pPr>
        <w:pStyle w:val="TableTitleCADTH"/>
        <w:spacing w:lineRule="auto" w:line="360" w:before="240" w:after="0"/>
        <w:rPr>
          <w:rFonts w:cs="Arial"/>
          <w:color w:val="auto"/>
          <w:sz w:val="20"/>
          <w:szCs w:val="20"/>
        </w:rPr>
      </w:pPr>
      <w:bookmarkStart w:id="86" w:name="_Ref5008644"/>
      <w:bookmarkStart w:id="87" w:name="_Toc13042128"/>
      <w:bookmarkStart w:id="88" w:name="_Toc93475817"/>
      <w:bookmarkStart w:id="89" w:name="_Toc9584350"/>
      <w:bookmarkEnd w:id="77"/>
      <w:r>
        <w:rPr>
          <w:color w:val="auto"/>
          <w:sz w:val="20"/>
          <w:szCs w:val="20"/>
        </w:rPr>
      </w:r>
      <w:bookmarkEnd w:id="88"/>
      <w:r>
        <w:t>Table 15: Sample table for efficacy outcome</w:t>
      </w:r>
    </w:p>
    <w:tbl>
      <w:tblPr>
        <w:tblW w:w="44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5347"/>
        <w:gridCol w:w="2089"/>
        <w:gridCol w:w="1942"/>
      </w:tblGrid>
      <w:tr>
        <w:trPr>
          <w:tblHeader/>
          <w:cantSplit/>
        </w:trPr>
        <w:tc>
          <w:tcPr>
            <w:tcW w:w="53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r>
          </w:p>
          <w:p>
            <w:pPr>
              <w:keepNext w:val="0"/>
            </w:pPr>
            <w:sdt>
              <w:sdtPr>
                <w:alias w:val="Completed response — Waist circumference at week 68* (CSR p. 87.)"/>
                <w:id w:val="1900000045"/>
              </w:sdtPr>
              <w:sdtContent>
                <w:r>
                  <w:rPr>
                    <w:rFonts w:ascii="Arial" w:hAnsi="Arial"/>
                    <w:color w:val="000000"/>
                    <w:sz w:val="18"/>
                  </w:rPr>
                  <w:t>Waist circumference at week 68* (CSR p. 87.)</w:t>
                </w:r>
              </w:sdtContent>
            </w:sdt>
          </w:p>
        </w:tc>
        <w:tc>
          <w:tcPr>
            <w:tcW w:w="20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sdt>
              <w:sdtPr>
                <w:alias w:val="Efficacy outcome sample — treatment 1"/>
                <w:id w:val="1972125768"/>
              </w:sdtPr>
              <w:sdtContent>
                <w:r>
                  <w:rPr>
                    <w:rFonts w:ascii="Arial" w:hAnsi="Arial" w:cs="Arial"/>
                    <w:sz w:val="18"/>
                    <w:color w:val="000000"/>
                  </w:rPr>
                  <w:t xml:space="preserve">Semaglutide 2.4 mg (CSR p. 65.)</w:t>
                </w:r>
              </w:sdtContent>
            </w:sdt>
          </w:p>
          <w:p>
            <w:pPr>
              <w:pStyle w:val="TableHeadingCenteredCADTH"/>
              <w:spacing w:before="20" w:after="20"/>
              <w:rPr>
                <w:color w:themeColor="text1" w:themeTint="f2" w:val="0D0D0D"/>
                <w:szCs w:val="18"/>
              </w:rPr>
            </w:pPr>
            <w:r>
              <w:rPr>
                <w:color w:themeColor="text1" w:themeTint="f2" w:val="0D0D0D"/>
                <w:szCs w:val="18"/>
              </w:rPr>
              <w:t xml:space="preserve">N = </w:t>
            </w:r>
            <w:sdt>
              <w:sdtPr>
                <w:alias w:val="Efficacy outcome sample — treatment 1 sample size"/>
                <w:id w:val="937981421"/>
              </w:sdtPr>
              <w:sdtContent>
                <w:r>
                  <w:rPr>
                    <w:rFonts w:ascii="Arial" w:hAnsi="Arial" w:cs="Arial"/>
                    <w:sz w:val="18"/>
                    <w:color w:val="000000"/>
                  </w:rPr>
                  <w:t xml:space="preserve">1,306 (CSR p. 65.)</w:t>
                </w:r>
              </w:sdtContent>
            </w:sdt>
          </w:p>
        </w:tc>
        <w:tc>
          <w:tcPr>
            <w:tcW w:w="194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sdt>
              <w:sdtPr>
                <w:alias w:val="Efficacy outcome sample — treatment 2"/>
                <w:id w:val="1258531805"/>
              </w:sdtPr>
              <w:sdtContent>
                <w:r>
                  <w:rPr>
                    <w:rFonts w:ascii="Arial" w:hAnsi="Arial" w:cs="Arial"/>
                    <w:sz w:val="18"/>
                    <w:color w:val="000000"/>
                  </w:rPr>
                  <w:t xml:space="preserve">Placebo (CSR p. 65.)</w:t>
                </w:r>
              </w:sdtContent>
            </w:sdt>
          </w:p>
          <w:p>
            <w:pPr>
              <w:pStyle w:val="TableHeadingCenteredCADTH"/>
              <w:spacing w:before="20" w:after="20"/>
              <w:rPr>
                <w:color w:themeColor="text1" w:themeTint="f2" w:val="0D0D0D"/>
                <w:szCs w:val="18"/>
              </w:rPr>
            </w:pPr>
            <w:r>
              <w:rPr>
                <w:color w:themeColor="text1" w:themeTint="f2" w:val="0D0D0D"/>
                <w:szCs w:val="18"/>
              </w:rPr>
              <w:t xml:space="preserve">N = </w:t>
            </w:r>
            <w:sdt>
              <w:sdtPr>
                <w:alias w:val="Efficacy outcome sample — treatment 2 sample size"/>
                <w:id w:val="1476786157"/>
              </w:sdtPr>
              <w:sdtContent>
                <w:r>
                  <w:rPr>
                    <w:rFonts w:ascii="Arial" w:hAnsi="Arial" w:cs="Arial"/>
                    <w:sz w:val="18"/>
                    <w:color w:val="000000"/>
                  </w:rPr>
                  <w:t xml:space="preserve">655 (CSR p. 65.)</w:t>
                </w:r>
              </w:sdtContent>
            </w:sdt>
          </w:p>
        </w:tc>
      </w:tr>
      <w:tr>
        <w:trPr>
          <w:cantSplit/>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Efficacy outcome sample — continuous outcome name"/>
                <w:id w:val="1282101737"/>
              </w:sdtPr>
              <w:sdtContent>
                <w:r>
                  <w:rPr>
                    <w:rFonts w:ascii="Arial" w:hAnsi="Arial" w:cs="Arial"/>
                    <w:sz w:val="18"/>
                    <w:color w:val="000000"/>
                  </w:rPr>
                  <w:t xml:space="preserve">Waist circumference (cm), week 68* (CSR pp. 87, 371.)</w:t>
                </w:r>
              </w:sdtContent>
            </w:sdt>
          </w:p>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Number of patients contributing to the analysis</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1"/>
              <w:id w:val="1669701757"/>
            </w:sdtPr>
            <w:sdtContent>
              <w:p>
                <w:pPr>
                  <w:pStyle w:val="BodyCopyWorking"/>
                </w:pPr>
                <w:r>
                  <w:rPr>
                    <w:rFonts w:ascii="Arial" w:hAnsi="Arial" w:cs="Arial"/>
                    <w:sz w:val="18"/>
                    <w:color w:val="000000"/>
                  </w:rPr>
                  <w:t xml:space="preserve">FAS 1,306; observed 1,210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2"/>
              <w:id w:val="228181640"/>
            </w:sdtPr>
            <w:sdtContent>
              <w:p>
                <w:pPr>
                  <w:pStyle w:val="BodyCopyWorking"/>
                </w:pPr>
                <w:r>
                  <w:rPr>
                    <w:rFonts w:ascii="Arial" w:hAnsi="Arial" w:cs="Arial"/>
                    <w:sz w:val="18"/>
                    <w:color w:val="000000"/>
                  </w:rPr>
                  <w:t xml:space="preserve">FAS 655; observed 575 (CSR p. 371, Table 14.2.54.)</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Baseline, mean (SD)</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1"/>
              <w:id w:val="609106811"/>
            </w:sdtPr>
            <w:sdtContent>
              <w:p>
                <w:pPr>
                  <w:pStyle w:val="BodyCopyWorking"/>
                </w:pPr>
                <w:r>
                  <w:rPr>
                    <w:rFonts w:ascii="Arial" w:hAnsi="Arial" w:cs="Arial"/>
                    <w:sz w:val="18"/>
                    <w:color w:val="000000"/>
                  </w:rPr>
                  <w:t xml:space="preserve">114.6 (14.8) cm (CSR p. 70.)</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2"/>
              <w:id w:val="1948471711"/>
            </w:sdtPr>
            <w:sdtContent>
              <w:p>
                <w:pPr>
                  <w:pStyle w:val="BodyCopyWorking"/>
                </w:pPr>
                <w:r>
                  <w:rPr>
                    <w:rFonts w:ascii="Arial" w:hAnsi="Arial" w:cs="Arial"/>
                    <w:sz w:val="18"/>
                    <w:color w:val="000000"/>
                  </w:rPr>
                  <w:t xml:space="preserve">114.8 (14.4) cm (CSR p. 70.)</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End of treatment time point (specify),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1"/>
              <w:id w:val="665321656"/>
            </w:sdtPr>
            <w:sdtContent>
              <w:p>
                <w:pPr>
                  <w:pStyle w:val="BodyCopyWorking"/>
                </w:pPr>
                <w:r>
                  <w:rPr>
                    <w:rFonts w:ascii="Arial" w:hAnsi="Arial" w:cs="Arial"/>
                    <w:sz w:val="18"/>
                    <w:color w:val="000000"/>
                  </w:rPr>
                  <w:t xml:space="preserve">101.13 cm; SE not reported in primary table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2"/>
              <w:id w:val="1767344048"/>
            </w:sdtPr>
            <w:sdtContent>
              <w:p>
                <w:pPr>
                  <w:pStyle w:val="BodyCopyWorking"/>
                </w:pPr>
                <w:r>
                  <w:rPr>
                    <w:rFonts w:ascii="Arial" w:hAnsi="Arial" w:cs="Arial"/>
                    <w:sz w:val="18"/>
                    <w:color w:val="000000"/>
                  </w:rPr>
                  <w:t xml:space="preserve">110.55 cm; SE not reported in primary table (CSR p. 371, Table 14.2.54.)</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Change from baseline,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1"/>
              <w:id w:val="1591601241"/>
            </w:sdtPr>
            <w:sdtContent>
              <w:p>
                <w:pPr>
                  <w:pStyle w:val="BodyCopyWorking"/>
                </w:pPr>
                <w:r>
                  <w:rPr>
                    <w:rFonts w:ascii="Arial" w:hAnsi="Arial" w:cs="Arial"/>
                    <w:sz w:val="18"/>
                    <w:color w:val="000000"/>
                  </w:rPr>
                  <w:t xml:space="preserve">−13.54 cm; SE not reported in primary table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2"/>
              <w:id w:val="267121885"/>
            </w:sdtPr>
            <w:sdtContent>
              <w:p>
                <w:pPr>
                  <w:pStyle w:val="BodyCopyWorking"/>
                </w:pPr>
                <w:r>
                  <w:rPr>
                    <w:rFonts w:ascii="Arial" w:hAnsi="Arial" w:cs="Arial"/>
                    <w:sz w:val="18"/>
                    <w:color w:val="000000"/>
                  </w:rPr>
                  <w:t xml:space="preserve">−4.13 cm; SE not reported in primary table (CSR p. 371, Table 14.2.54.)</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Treatment group difference versus control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1"/>
              <w:id w:val="1759501106"/>
            </w:sdtPr>
            <w:sdtContent>
              <w:p>
                <w:pPr>
                  <w:pStyle w:val="BodyCopyWorking"/>
                </w:pPr>
                <w:r>
                  <w:rPr>
                    <w:rFonts w:ascii="Arial" w:hAnsi="Arial" w:cs="Arial"/>
                    <w:sz w:val="18"/>
                    <w:color w:val="000000"/>
                  </w:rPr>
                  <w:t xml:space="preserve">−9.42 cm (95% CI −10.30 to −8.53)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2"/>
              <w:id w:val="79267020"/>
            </w:sdtPr>
            <w:sdtContent>
              <w:p>
                <w:pPr>
                  <w:pStyle w:val="BodyCopyWorking"/>
                </w:pPr>
                <w:r>
                  <w:rPr>
                    <w:rFonts w:ascii="Arial" w:hAnsi="Arial" w:cs="Arial"/>
                    <w:sz w:val="18"/>
                    <w:color w:val="000000"/>
                  </w:rPr>
                  <w:t xml:space="preserve">Reference (CSR p. 371, Table 14.2.54.)</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i/>
                <w:color w:val="C00000"/>
              </w:rPr>
              <w:t>P</w:t>
            </w:r>
            <w:r>
              <w:rPr>
                <w:color w:val="C00000"/>
              </w:rPr>
              <w:t xml:space="preserve">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1"/>
              <w:id w:val="296249480"/>
            </w:sdtPr>
            <w:sdtContent>
              <w:p>
                <w:pPr>
                  <w:pStyle w:val="BodyCopyWorking"/>
                </w:pPr>
                <w:r>
                  <w:rPr>
                    <w:rFonts w:ascii="Arial" w:hAnsi="Arial" w:cs="Arial"/>
                    <w:sz w:val="18"/>
                    <w:color w:val="000000"/>
                  </w:rPr>
                  <w:t xml:space="preserve">&lt;0.0001; unadjusted p, hierarchy controlled* (CSR p. 371, Table 14.2.54.)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2"/>
              <w:id w:val="1250120688"/>
            </w:sdtPr>
            <w:sdtContent>
              <w:p>
                <w:pPr>
                  <w:pStyle w:val="BodyCopyWorking"/>
                </w:pPr>
                <w:r>
                  <w:rPr>
                    <w:rFonts w:ascii="Arial" w:hAnsi="Arial" w:cs="Arial"/>
                    <w:sz w:val="18"/>
                    <w:color w:val="000000"/>
                  </w:rPr>
                  <w:t xml:space="preserve">Same comparison (CSR p. 371, Table 14.2.54.)</w:t>
                </w:r>
              </w:p>
            </w:sdtContent>
          </w:sdt>
        </w:tc>
      </w:tr>
      <w:tr>
        <w:trPr>
          <w:cantSplit/>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Efficacy outcome sample — dichotomous outcome name"/>
                <w:id w:val="1413108311"/>
              </w:sdtPr>
              <w:sdtContent>
                <w:r>
                  <w:rPr>
                    <w:rFonts w:ascii="Arial" w:hAnsi="Arial" w:cs="Arial"/>
                    <w:sz w:val="18"/>
                    <w:color w:val="000000"/>
                  </w:rPr>
                  <w:t xml:space="preserve">Dichotomous outcome: not applicable to waist. (CSR pp. 59-61.)</w:t>
                </w:r>
              </w:sdtContent>
            </w:sdt>
            <w:r>
              <w:rPr>
                <w:vertAlign w:val="superscript"/>
              </w:rPr>
              <w:t xml:space="preserve"> </w:t>
            </w:r>
          </w:p>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1"/>
              <w:id w:val="1314190250"/>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2"/>
              <w:id w:val="1137967173"/>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OR/RR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1"/>
              <w:id w:val="215140399"/>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2"/>
              <w:id w:val="709270625"/>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RD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1"/>
              <w:id w:val="736057284"/>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2"/>
              <w:id w:val="1161887237"/>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1"/>
              <w:id w:val="1615120398"/>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2"/>
              <w:id w:val="2098439437"/>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bookmarkEnd w:id="86"/>
            <w:bookmarkEnd w:id="87"/>
            <w:bookmarkEnd w:id="89"/>
            <w:sdt>
              <w:sdtPr>
                <w:alias w:val="Efficacy outcome sample — time-to-event outcome name"/>
                <w:id w:val="1215509121"/>
              </w:sdtPr>
              <w:sdtContent>
                <w:r>
                  <w:rPr>
                    <w:rFonts w:ascii="Arial" w:hAnsi="Arial" w:cs="Arial"/>
                    <w:sz w:val="18"/>
                    <w:color w:val="000000"/>
                  </w:rPr>
                  <w:t xml:space="preserve">Survival outcome: not evaluated. (CSR pp. 59-61.)</w:t>
                </w:r>
              </w:sdtContent>
            </w:sdt>
            <w:r>
              <w:rPr>
                <w:vertAlign w:val="superscript"/>
              </w:rPr>
              <w:t xml:space="preserve"> </w:t>
            </w:r>
          </w:p>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Events, 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1"/>
              <w:id w:val="2080988536"/>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2"/>
              <w:id w:val="24677705"/>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Overall survival (months), median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1"/>
              <w:id w:val="2116625410"/>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2"/>
              <w:id w:val="1107993731"/>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HR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1"/>
              <w:id w:val="110558745"/>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2"/>
              <w:id w:val="639278874"/>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1"/>
              <w:id w:val="1940746162"/>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2"/>
              <w:id w:val="1296899676"/>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 xml:space="preserve">Survival probability (%) at </w:t>
            </w:r>
            <w:sdt>
              <w:sdtPr>
                <w:alias w:val="Efficacy outcome sample — reporting month X"/>
                <w:id w:val="1833050749"/>
              </w:sdtPr>
              <w:sdtContent>
                <w:r>
                  <w:rPr>
                    <w:rFonts w:ascii="Arial" w:hAnsi="Arial" w:cs="Arial"/>
                    <w:sz w:val="18"/>
                    <w:color w:val="000000"/>
                  </w:rPr>
                  <w:t xml:space="preserve">Not applicable</w:t>
                </w:r>
              </w:sdtContent>
            </w:sdt>
            <w:r>
              <w:rPr>
                <w:color w:val="C00000"/>
              </w:rPr>
              <w:t xml:space="preserve"> months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1"/>
              <w:id w:val="554703709"/>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2"/>
              <w:id w:val="553107993"/>
            </w:sdtPr>
            <w:sdtContent>
              <w:p>
                <w:pPr>
                  <w:pStyle w:val="BodyCopyWorking"/>
                </w:pPr>
                <w:r>
                  <w:rPr>
                    <w:rFonts w:ascii="Arial" w:hAnsi="Arial" w:cs="Arial"/>
                    <w:sz w:val="18"/>
                    <w:color w:val="000000"/>
                  </w:rPr>
                  <w:t xml:space="preserve">Not applicable to waist circumference. (CSR pp. 59-61, 371.)</w:t>
                </w:r>
              </w:p>
            </w:sdtContent>
          </w:sdt>
        </w:tc>
      </w:tr>
      <w:tr>
        <w:trPr>
          <w:cantSplit/>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ind w:start="170"/>
              <w:rPr>
                <w:color w:val="C00000"/>
              </w:rPr>
            </w:pPr>
            <w:r>
              <w:rPr>
                <w:color w:val="C00000"/>
              </w:rPr>
              <w:t>Difference in survival probability (%)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1"/>
              <w:id w:val="898624048"/>
            </w:sdtPr>
            <w:sdtContent>
              <w:p>
                <w:pPr>
                  <w:pStyle w:val="BodyCopyWorking"/>
                </w:pPr>
                <w:r>
                  <w:rPr>
                    <w:rFonts w:ascii="Arial" w:hAnsi="Arial" w:cs="Arial"/>
                    <w:sz w:val="18"/>
                    <w:color w:val="000000"/>
                  </w:rPr>
                  <w:t xml:space="preserve">Not applicable to waist circumference. (CSR pp. 59-61, 371.)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2"/>
              <w:id w:val="1022743342"/>
            </w:sdtPr>
            <w:sdtContent>
              <w:p>
                <w:pPr>
                  <w:pStyle w:val="BodyCopyWorking"/>
                </w:pPr>
                <w:r>
                  <w:rPr>
                    <w:rFonts w:ascii="Arial" w:hAnsi="Arial" w:cs="Arial"/>
                    <w:sz w:val="18"/>
                    <w:color w:val="000000"/>
                  </w:rPr>
                  <w:t xml:space="preserve">Not applicable to waist circumference. (CSR pp. 59-61, 371.)</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color w:val="C00000"/>
        </w:rPr>
      </w:pPr>
      <w:r>
        <w:rPr>
          <w:color w:val="C00000"/>
        </w:rPr>
      </w:r>
    </w:p>
    <w:p>
      <w:pPr>
        <w:pStyle w:val="Subheadinglvl1Working"/>
        <w:rPr/>
      </w:pPr>
      <w:r>
        <w:rPr/>
        <w:t>Harms</w:t>
      </w:r>
    </w:p>
    <w:p>
      <w:pPr>
        <w:pStyle w:val="InstructionsWorking"/>
        <w:numPr>
          <w:ilvl w:val="0"/>
          <w:numId w:val="0"/>
        </w:numPr>
        <w:ind w:hanging="0" w:start="0"/>
        <w:rPr/>
      </w:pPr>
      <w:sdt>
        <w:sdtPr>
          <w:alias w:val="Harms"/>
          <w:id w:val="1445285894"/>
        </w:sdtPr>
        <w:sdtContent>
          <w:r>
            <w:rPr>
              <w:rFonts w:ascii="Arial" w:hAnsi="Arial" w:cs="Arial"/>
              <w:sz w:val="20"/>
              <w:color w:val="000000"/>
            </w:rPr>
            <w:t xml:space="preserve">On-treatment AEs occurred in 1,171/1,306 (89.7%) versus 566/655 (86.4%); SAEs in 128 (9.8%) versus 42 (6.4%); and AEs leading to permanent treatment discontinuation in 92 (7.0%) versus 20 (3.1%), for semaglutide versus placebo. There was 1 death in each group during the in-trial period. (CSR p. 128, Table 12-1.)</w:t>
          </w:r>
        </w:sdtContent>
      </w:sdt>
    </w:p>
    <w:p>
      <w:pPr>
        <w:pStyle w:val="TableTitleCADTH"/>
        <w:spacing w:lineRule="auto" w:line="360" w:before="240" w:after="0"/>
        <w:rPr>
          <w:color w:val="auto"/>
          <w:sz w:val="20"/>
          <w:szCs w:val="20"/>
        </w:rPr>
      </w:pPr>
      <w:r>
        <w:rPr>
          <w:color w:val="auto"/>
          <w:sz w:val="20"/>
          <w:szCs w:val="20"/>
        </w:rPr>
      </w:r>
      <w:r>
        <w:t>Table 16: Sample table for key harms data</w:t>
      </w:r>
    </w:p>
    <w:tbl>
      <w:tblPr>
        <w:tblW w:w="7068" w:type="dxa"/>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8"/>
        <w:gridCol w:w="1941"/>
        <w:gridCol w:w="1939"/>
      </w:tblGrid>
      <w:tr>
        <w:trPr>
          <w:cantSplit/>
        </w:trPr>
        <w:tc>
          <w:tcPr>
            <w:tcW w:w="31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rPr>
            </w:pPr>
            <w:r>
              <w:rPr>
                <w:color w:themeColor="text1" w:themeTint="f2" w:val="0D0D0D"/>
              </w:rPr>
              <w:t>Adverse events</w:t>
            </w:r>
          </w:p>
        </w:tc>
        <w:tc>
          <w:tcPr>
            <w:tcW w:w="194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Systematic review — harms — treatment 1"/>
                <w:id w:val="983072481"/>
              </w:sdtPr>
              <w:sdtContent>
                <w:r>
                  <w:rPr>
                    <w:rFonts w:ascii="Arial" w:hAnsi="Arial" w:cs="Arial"/>
                    <w:sz w:val="18"/>
                    <w:color w:val="000000"/>
                  </w:rPr>
                  <w:t xml:space="preserve">Semaglutide 2.4 mg (CSR p. 65.)</w:t>
                </w:r>
              </w:sdtContent>
            </w:sdt>
          </w:p>
          <w:p>
            <w:pPr>
              <w:pStyle w:val="TableHeadingCADTH"/>
              <w:spacing w:before="20" w:after="20"/>
              <w:jc w:val="center"/>
              <w:rPr>
                <w:color w:themeColor="text1" w:themeTint="f2" w:val="0D0D0D"/>
              </w:rPr>
            </w:pPr>
            <w:r>
              <w:rPr>
                <w:color w:themeColor="text1" w:themeTint="f2" w:val="0D0D0D"/>
              </w:rPr>
              <w:t xml:space="preserve">(N = </w:t>
            </w:r>
            <w:sdt>
              <w:sdtPr>
                <w:alias w:val="Systematic review — harms — treatment 1 sample size"/>
                <w:id w:val="1457197877"/>
              </w:sdtPr>
              <w:sdtContent>
                <w:r>
                  <w:rPr>
                    <w:rFonts w:ascii="Arial" w:hAnsi="Arial" w:cs="Arial"/>
                    <w:sz w:val="18"/>
                    <w:color w:val="000000"/>
                  </w:rPr>
                  <w:t xml:space="preserve">1,306 (CSR p. 65.)</w:t>
                </w:r>
              </w:sdtContent>
            </w:sdt>
            <w:r>
              <w:rPr>
                <w:color w:themeColor="text1" w:themeTint="f2" w:val="0D0D0D"/>
              </w:rPr>
              <w:t>)</w:t>
            </w:r>
          </w:p>
        </w:tc>
        <w:tc>
          <w:tcPr>
            <w:tcW w:w="193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Systematic review — harms — treatment 2"/>
                <w:id w:val="940017189"/>
              </w:sdtPr>
              <w:sdtContent>
                <w:r>
                  <w:rPr>
                    <w:rFonts w:ascii="Arial" w:hAnsi="Arial" w:cs="Arial"/>
                    <w:sz w:val="18"/>
                    <w:color w:val="000000"/>
                  </w:rPr>
                  <w:t xml:space="preserve">Placebo (CSR p. 65.)</w:t>
                </w:r>
              </w:sdtContent>
            </w:sdt>
          </w:p>
          <w:p>
            <w:pPr>
              <w:pStyle w:val="TableHeadingCADTH"/>
              <w:spacing w:before="20" w:after="20"/>
              <w:jc w:val="center"/>
              <w:rPr>
                <w:color w:themeColor="text1" w:themeTint="f2" w:val="0D0D0D"/>
              </w:rPr>
            </w:pPr>
            <w:r>
              <w:rPr>
                <w:color w:themeColor="text1" w:themeTint="f2" w:val="0D0D0D"/>
              </w:rPr>
              <w:t xml:space="preserve">(N = </w:t>
            </w:r>
            <w:sdt>
              <w:sdtPr>
                <w:alias w:val="Systematic review — harms — treatment 2 sample size"/>
                <w:id w:val="212298022"/>
              </w:sdtPr>
              <w:sdtContent>
                <w:r>
                  <w:rPr>
                    <w:rFonts w:ascii="Arial" w:hAnsi="Arial" w:cs="Arial"/>
                    <w:sz w:val="18"/>
                    <w:color w:val="000000"/>
                  </w:rPr>
                  <w:t xml:space="preserve">655 (CSR p. 65.)</w:t>
                </w:r>
              </w:sdtContent>
            </w:sdt>
            <w:r>
              <w:rPr>
                <w:color w:themeColor="text1" w:themeTint="f2" w:val="0D0D0D"/>
              </w:rPr>
              <w:t>)</w:t>
            </w:r>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Most common adverse events, n (%) </w:t>
            </w:r>
          </w:p>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1"/>
              <w:id w:val="1156131808"/>
            </w:sdtPr>
            <w:sdtContent>
              <w:p>
                <w:pPr>
                  <w:pStyle w:val="BodyCopyWorking"/>
                </w:pPr>
                <w:r>
                  <w:rPr>
                    <w:rFonts w:ascii="Arial" w:hAnsi="Arial" w:cs="Arial"/>
                    <w:sz w:val="18"/>
                    <w:color w:val="000000"/>
                  </w:rPr>
                  <w:t xml:space="preserve">1,171 (89.7%) (CSR p. 128.)</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2"/>
              <w:id w:val="1730456342"/>
            </w:sdtPr>
            <w:sdtContent>
              <w:p>
                <w:pPr>
                  <w:pStyle w:val="BodyCopyWorking"/>
                </w:pPr>
                <w:r>
                  <w:rPr>
                    <w:rFonts w:ascii="Arial" w:hAnsi="Arial" w:cs="Arial"/>
                    <w:sz w:val="18"/>
                    <w:color w:val="000000"/>
                  </w:rPr>
                  <w:t xml:space="preserve">566 (86.4%) (CSR p. 128.)</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Systematic review — harms — adverse event 1 name"/>
                <w:id w:val="339957549"/>
              </w:sdtPr>
              <w:sdtContent>
                <w:r>
                  <w:rPr>
                    <w:rFonts w:ascii="Arial" w:hAnsi="Arial" w:cs="Arial"/>
                    <w:sz w:val="18"/>
                    <w:color w:val="000000"/>
                  </w:rPr>
                  <w:t xml:space="preserve">Nausea (CSR p. 141.)</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1"/>
              <w:id w:val="1676646681"/>
            </w:sdtPr>
            <w:sdtContent>
              <w:p>
                <w:pPr>
                  <w:pStyle w:val="BodyCopyWorking"/>
                </w:pPr>
                <w:r>
                  <w:rPr>
                    <w:rFonts w:ascii="Arial" w:hAnsi="Arial" w:cs="Arial"/>
                    <w:sz w:val="18"/>
                    <w:color w:val="000000"/>
                  </w:rPr>
                  <w:t xml:space="preserve">Nausea: 577 (44.2%) (CSR p. 141.)</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2"/>
              <w:id w:val="237151303"/>
            </w:sdtPr>
            <w:sdtContent>
              <w:p>
                <w:pPr>
                  <w:pStyle w:val="BodyCopyWorking"/>
                </w:pPr>
                <w:r>
                  <w:rPr>
                    <w:rFonts w:ascii="Arial" w:hAnsi="Arial" w:cs="Arial"/>
                    <w:sz w:val="18"/>
                    <w:color w:val="000000"/>
                  </w:rPr>
                  <w:t xml:space="preserve">Nausea: 114 (17.4%) (CSR p. 141.)</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Systematic review — harms — adverse event 2 name"/>
                <w:id w:val="1494054240"/>
              </w:sdtPr>
              <w:sdtContent>
                <w:r>
                  <w:rPr>
                    <w:rFonts w:ascii="Arial" w:hAnsi="Arial" w:cs="Arial"/>
                    <w:sz w:val="18"/>
                    <w:color w:val="000000"/>
                  </w:rPr>
                  <w:t xml:space="preserve">Diarrhoea (CSR p. 141.)</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1"/>
              <w:id w:val="256239603"/>
            </w:sdtPr>
            <w:sdtContent>
              <w:p>
                <w:pPr>
                  <w:pStyle w:val="BodyCopyWorking"/>
                </w:pPr>
                <w:r>
                  <w:rPr>
                    <w:rFonts w:ascii="Arial" w:hAnsi="Arial" w:cs="Arial"/>
                    <w:sz w:val="18"/>
                    <w:color w:val="000000"/>
                  </w:rPr>
                  <w:t xml:space="preserve">Diarrhoea: 412 (31.5%) (CSR p. 141.)</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2"/>
              <w:id w:val="398526255"/>
            </w:sdtPr>
            <w:sdtContent>
              <w:p>
                <w:pPr>
                  <w:pStyle w:val="BodyCopyWorking"/>
                </w:pPr>
                <w:r>
                  <w:rPr>
                    <w:rFonts w:ascii="Arial" w:hAnsi="Arial" w:cs="Arial"/>
                    <w:sz w:val="18"/>
                    <w:color w:val="000000"/>
                  </w:rPr>
                  <w:t xml:space="preserve">Diarrhoea: 104 (15.9%) (CSR p. 141.)</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Vomiting: 324 (24.8%); constipation: 306 (23.4%) (CSR p. 141.)"/>
                <w:id w:val="1900000046"/>
              </w:sdtPr>
              <w:sdtContent>
                <w:r>
                  <w:rPr>
                    <w:rFonts w:ascii="Arial" w:hAnsi="Arial"/>
                    <w:color w:val="000000"/>
                    <w:sz w:val="18"/>
                  </w:rPr>
                  <w:t>Vomiting: 324 (24.8%); constipation: 306 (23.4%) (CSR p. 141.)</w:t>
                </w:r>
              </w:sdtContent>
            </w:sdt>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Vomiting: 43 (6.6%); constipation: 62 (9.5%) (CSR p. 141.)"/>
                <w:id w:val="1900000047"/>
              </w:sdtPr>
              <w:sdtContent>
                <w:r>
                  <w:rPr>
                    <w:rFonts w:ascii="Arial" w:hAnsi="Arial"/>
                    <w:color w:val="000000"/>
                    <w:sz w:val="18"/>
                  </w:rPr>
                  <w:t>Vomiting: 43 (6.6%); constipation: 62 (9.5%) (CSR p. 141.)</w:t>
                </w:r>
              </w:sdtContent>
            </w:sdt>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Serious adverse events, n (%)</w:t>
            </w:r>
          </w:p>
          <w:p>
            <w:pPr>
              <w:pStyle w:val="TableSubheadingCADTH"/>
              <w:jc w:val="start"/>
              <w:rPr/>
            </w:pPr>
            <w:r>
              <w:rPr/>
            </w:r>
          </w:p>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1"/>
              <w:id w:val="476826638"/>
            </w:sdtPr>
            <w:sdtContent>
              <w:p>
                <w:pPr>
                  <w:pStyle w:val="BodyCopyWorking"/>
                </w:pPr>
                <w:r>
                  <w:rPr>
                    <w:rFonts w:ascii="Arial" w:hAnsi="Arial" w:cs="Arial"/>
                    <w:sz w:val="18"/>
                    <w:color w:val="000000"/>
                  </w:rPr>
                  <w:t xml:space="preserve">128 (9.8%) (CSR p. 135.)</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2"/>
              <w:id w:val="1471880758"/>
            </w:sdtPr>
            <w:sdtContent>
              <w:p>
                <w:pPr>
                  <w:pStyle w:val="BodyCopyWorking"/>
                </w:pPr>
                <w:r>
                  <w:rPr>
                    <w:rFonts w:ascii="Arial" w:hAnsi="Arial" w:cs="Arial"/>
                    <w:sz w:val="18"/>
                    <w:color w:val="000000"/>
                  </w:rPr>
                  <w:t xml:space="preserve">42 (6.4%) (CSR p. 135.)</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AE 1 name"/>
                <w:id w:val="1477737680"/>
              </w:sdtPr>
              <w:sdtContent>
                <w:r>
                  <w:rPr>
                    <w:rFonts w:ascii="Arial" w:hAnsi="Arial" w:cs="Arial"/>
                    <w:sz w:val="18"/>
                    <w:color w:val="000000"/>
                  </w:rPr>
                  <w:t xml:space="preserve">GI disorders (CSR p. 135.)</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1 — treatment 1"/>
              <w:id w:val="437963654"/>
            </w:sdtPr>
            <w:sdtContent>
              <w:p>
                <w:pPr>
                  <w:pStyle w:val="BodyCopyWorking"/>
                </w:pPr>
                <w:r>
                  <w:rPr>
                    <w:rFonts w:ascii="Arial" w:hAnsi="Arial" w:cs="Arial"/>
                    <w:sz w:val="18"/>
                    <w:color w:val="000000"/>
                  </w:rPr>
                  <w:t xml:space="preserve">GI: 18 (1.4%) (CSR p. 135.)</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1 — treatment 2"/>
              <w:id w:val="705322254"/>
            </w:sdtPr>
            <w:sdtContent>
              <w:p>
                <w:pPr>
                  <w:pStyle w:val="BodyCopyWorking"/>
                </w:pPr>
                <w:r>
                  <w:rPr>
                    <w:rFonts w:ascii="Arial" w:hAnsi="Arial" w:cs="Arial"/>
                    <w:sz w:val="18"/>
                    <w:color w:val="000000"/>
                  </w:rPr>
                  <w:t xml:space="preserve">GI: 0 (CSR p. 135.)</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AE 2 name"/>
                <w:id w:val="1930814023"/>
              </w:sdtPr>
              <w:sdtContent>
                <w:r>
                  <w:rPr>
                    <w:rFonts w:ascii="Arial" w:hAnsi="Arial" w:cs="Arial"/>
                    <w:sz w:val="18"/>
                    <w:color w:val="000000"/>
                  </w:rPr>
                  <w:t xml:space="preserve">Hepatobiliary disorders (CSR p. 135.)</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2 — treatment 1"/>
              <w:id w:val="1406392629"/>
            </w:sdtPr>
            <w:sdtContent>
              <w:p>
                <w:pPr>
                  <w:pStyle w:val="BodyCopyWorking"/>
                </w:pPr>
                <w:r>
                  <w:rPr>
                    <w:rFonts w:ascii="Arial" w:hAnsi="Arial" w:cs="Arial"/>
                    <w:sz w:val="18"/>
                    <w:color w:val="000000"/>
                  </w:rPr>
                  <w:t xml:space="preserve">Hepatobiliary: 17 (1.3%) (CSR p. 135.)</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2 — treatment 2"/>
              <w:id w:val="2006320262"/>
            </w:sdtPr>
            <w:sdtContent>
              <w:p>
                <w:pPr>
                  <w:pStyle w:val="BodyCopyWorking"/>
                </w:pPr>
                <w:r>
                  <w:rPr>
                    <w:rFonts w:ascii="Arial" w:hAnsi="Arial" w:cs="Arial"/>
                    <w:sz w:val="18"/>
                    <w:color w:val="000000"/>
                  </w:rPr>
                  <w:t xml:space="preserve">Hepatobiliary: 1 (0.2%) (CSR p. 135.)</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Infections: 27 (2.1%) (CSR p. 135.)"/>
                <w:id w:val="1900000048"/>
              </w:sdtPr>
              <w:sdtContent>
                <w:r>
                  <w:rPr>
                    <w:rFonts w:ascii="Arial" w:hAnsi="Arial"/>
                    <w:color w:val="000000"/>
                    <w:sz w:val="18"/>
                  </w:rPr>
                  <w:t>Infections: 27 (2.1%) (CSR p. 135.)</w:t>
                </w:r>
              </w:sdtContent>
            </w:sdt>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Infections: 10 (1.5%) (CSR p. 135.)"/>
                <w:id w:val="1900000049"/>
              </w:sdtPr>
              <w:sdtContent>
                <w:r>
                  <w:rPr>
                    <w:rFonts w:ascii="Arial" w:hAnsi="Arial"/>
                    <w:color w:val="000000"/>
                    <w:sz w:val="18"/>
                  </w:rPr>
                  <w:t>Infections: 10 (1.5%) (CSR p. 135.)</w:t>
                </w:r>
              </w:sdtContent>
            </w:sdt>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Patients who stopped treatment due to adverse events, n (%)</w:t>
            </w:r>
          </w:p>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1"/>
              <w:id w:val="1483521817"/>
            </w:sdtPr>
            <w:sdtContent>
              <w:p>
                <w:pPr>
                  <w:pStyle w:val="BodyCopyWorking"/>
                </w:pPr>
                <w:r>
                  <w:rPr>
                    <w:rFonts w:ascii="Arial" w:hAnsi="Arial" w:cs="Arial"/>
                    <w:sz w:val="18"/>
                    <w:color w:val="000000"/>
                  </w:rPr>
                  <w:t xml:space="preserve">92 (7.0%); AE form (CSR p. 137.)</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2"/>
              <w:id w:val="33425579"/>
            </w:sdtPr>
            <w:sdtContent>
              <w:p>
                <w:pPr>
                  <w:pStyle w:val="BodyCopyWorking"/>
                </w:pPr>
                <w:r>
                  <w:rPr>
                    <w:rFonts w:ascii="Arial" w:hAnsi="Arial" w:cs="Arial"/>
                    <w:sz w:val="18"/>
                    <w:color w:val="000000"/>
                  </w:rPr>
                  <w:t xml:space="preserve">20 (3.1%); AE form (CSR p. 137.)</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topped-treatment adverse event 1 name"/>
                <w:id w:val="390444819"/>
              </w:sdtPr>
              <w:sdtContent>
                <w:r>
                  <w:rPr>
                    <w:rFonts w:ascii="Arial" w:hAnsi="Arial" w:cs="Arial"/>
                    <w:sz w:val="18"/>
                    <w:color w:val="000000"/>
                  </w:rPr>
                  <w:t xml:space="preserve">GI disorders (CSR p. 137.)</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1"/>
              <w:id w:val="360453968"/>
            </w:sdtPr>
            <w:sdtContent>
              <w:p>
                <w:pPr>
                  <w:pStyle w:val="BodyCopyWorking"/>
                </w:pPr>
                <w:r>
                  <w:rPr>
                    <w:rFonts w:ascii="Arial" w:hAnsi="Arial" w:cs="Arial"/>
                    <w:sz w:val="18"/>
                    <w:color w:val="000000"/>
                  </w:rPr>
                  <w:t xml:space="preserve">GI: 59 (4.5%) (CSR p. 137.)</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2"/>
              <w:id w:val="488266923"/>
            </w:sdtPr>
            <w:sdtContent>
              <w:p>
                <w:pPr>
                  <w:pStyle w:val="BodyCopyWorking"/>
                </w:pPr>
                <w:r>
                  <w:rPr>
                    <w:rFonts w:ascii="Arial" w:hAnsi="Arial" w:cs="Arial"/>
                    <w:sz w:val="18"/>
                    <w:color w:val="000000"/>
                  </w:rPr>
                  <w:t xml:space="preserve">GI: 5 (0.8%) (CSR p. 137.)</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topped-treatment adverse event 2 name"/>
                <w:id w:val="80911201"/>
              </w:sdtPr>
              <w:sdtContent>
                <w:r>
                  <w:rPr>
                    <w:rFonts w:ascii="Arial" w:hAnsi="Arial" w:cs="Arial"/>
                    <w:sz w:val="18"/>
                    <w:color w:val="000000"/>
                  </w:rPr>
                  <w:t xml:space="preserve">Psychiatric disorders (CSR p. 137.)</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1"/>
              <w:id w:val="190329408"/>
            </w:sdtPr>
            <w:sdtContent>
              <w:p>
                <w:pPr>
                  <w:pStyle w:val="BodyCopyWorking"/>
                </w:pPr>
                <w:r>
                  <w:rPr>
                    <w:rFonts w:ascii="Arial" w:hAnsi="Arial" w:cs="Arial"/>
                    <w:sz w:val="18"/>
                    <w:color w:val="000000"/>
                  </w:rPr>
                  <w:t xml:space="preserve">Psychiatric: 7 (0.5%) (CSR p. 137.)</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2"/>
              <w:id w:val="1646255212"/>
            </w:sdtPr>
            <w:sdtContent>
              <w:p>
                <w:pPr>
                  <w:pStyle w:val="BodyCopyWorking"/>
                </w:pPr>
                <w:r>
                  <w:rPr>
                    <w:rFonts w:ascii="Arial" w:hAnsi="Arial" w:cs="Arial"/>
                    <w:sz w:val="18"/>
                    <w:color w:val="000000"/>
                  </w:rPr>
                  <w:t xml:space="preserve">Psychiatric: 3 (0.5%) (CSR p. 137.)</w:t>
                </w:r>
              </w:p>
            </w:sdtContent>
          </w:sdt>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Skin: 5 (0.4%) (CSR p. 137.)"/>
                <w:id w:val="1900000050"/>
              </w:sdtPr>
              <w:sdtContent>
                <w:r>
                  <w:rPr>
                    <w:rFonts w:ascii="Arial" w:hAnsi="Arial"/>
                    <w:color w:val="000000"/>
                    <w:sz w:val="18"/>
                  </w:rPr>
                  <w:t>Skin: 5 (0.4%) (CSR p. 137.)</w:t>
                </w:r>
              </w:sdtContent>
            </w:sdt>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Skin: 2 (0.3%) (CSR p. 137.)"/>
                <w:id w:val="1900000051"/>
              </w:sdtPr>
              <w:sdtContent>
                <w:r>
                  <w:rPr>
                    <w:rFonts w:ascii="Arial" w:hAnsi="Arial"/>
                    <w:color w:val="000000"/>
                    <w:sz w:val="18"/>
                  </w:rPr>
                  <w:t>Skin: 2 (0.3%) (CSR p. 137.)</w:t>
                </w:r>
              </w:sdtContent>
            </w:sdt>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Deaths, n (%)</w:t>
            </w:r>
          </w:p>
        </w:tc>
      </w:tr>
      <w:tr>
        <w:trPr>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1"/>
              <w:id w:val="721157853"/>
            </w:sdtPr>
            <w:sdtContent>
              <w:p>
                <w:pPr>
                  <w:pStyle w:val="BodyCopyWorking"/>
                </w:pPr>
                <w:r>
                  <w:rPr>
                    <w:rFonts w:ascii="Arial" w:hAnsi="Arial" w:cs="Arial"/>
                    <w:sz w:val="18"/>
                    <w:color w:val="000000"/>
                  </w:rPr>
                  <w:t xml:space="preserve">1 (0.1%), in-trial (CSR p. 128.)</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2"/>
              <w:id w:val="1712975059"/>
            </w:sdtPr>
            <w:sdtContent>
              <w:p>
                <w:pPr>
                  <w:pStyle w:val="BodyCopyWorking"/>
                </w:pPr>
                <w:r>
                  <w:rPr>
                    <w:rFonts w:ascii="Arial" w:hAnsi="Arial" w:cs="Arial"/>
                    <w:sz w:val="18"/>
                    <w:color w:val="000000"/>
                  </w:rPr>
                  <w:t xml:space="preserve">1 (0.2%), in-trial (CSR p. 128.)</w:t>
                </w:r>
              </w:p>
            </w:sdtContent>
          </w:sdt>
        </w:tc>
      </w:tr>
      <w:tr>
        <w:trPr>
          <w:trHeight w:val="22" w:hRule="atLeast"/>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ystematic review — harms — causes of death description"/>
                <w:id w:val="600321283"/>
              </w:sdtPr>
              <w:sdtContent>
                <w:r>
                  <w:rPr>
                    <w:rFonts w:ascii="Arial" w:hAnsi="Arial" w:cs="Arial"/>
                    <w:sz w:val="18"/>
                    <w:color w:val="000000"/>
                  </w:rPr>
                  <w:t xml:space="preserve">Adjudicated causes of death. (CSR p. 134.)</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1"/>
              <w:id w:val="77268508"/>
            </w:sdtPr>
            <w:sdtContent>
              <w:p>
                <w:pPr>
                  <w:pStyle w:val="BodyCopyWorking"/>
                </w:pPr>
                <w:r>
                  <w:rPr>
                    <w:rFonts w:ascii="Arial" w:hAnsi="Arial" w:cs="Arial"/>
                    <w:sz w:val="18"/>
                    <w:color w:val="000000"/>
                  </w:rPr>
                  <w:t xml:space="preserve">Sudden cardiac death adjudicated; off treatment (CSR p. 134.)</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2"/>
              <w:id w:val="1083791034"/>
            </w:sdtPr>
            <w:sdtContent>
              <w:p>
                <w:pPr>
                  <w:pStyle w:val="BodyCopyWorking"/>
                </w:pPr>
                <w:r>
                  <w:rPr>
                    <w:rFonts w:ascii="Arial" w:hAnsi="Arial" w:cs="Arial"/>
                    <w:sz w:val="18"/>
                    <w:color w:val="000000"/>
                  </w:rPr>
                  <w:t xml:space="preserve">Malignancy adjudicated; off treatment (CSR p. 134.)</w:t>
                </w:r>
              </w:p>
            </w:sdtContent>
          </w:sdt>
        </w:tc>
      </w:tr>
      <w:tr>
        <w:trPr>
          <w:trHeight w:val="22" w:hRule="atLeast"/>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1 fatal event in 1 participant (CSR p. 128.)"/>
                <w:id w:val="1900000052"/>
              </w:sdtPr>
              <w:sdtContent>
                <w:r>
                  <w:rPr>
                    <w:rFonts w:ascii="Arial" w:hAnsi="Arial"/>
                    <w:color w:val="000000"/>
                    <w:sz w:val="18"/>
                  </w:rPr>
                  <w:t>1 fatal event in 1 participant (CSR p. 128.)</w:t>
                </w:r>
              </w:sdtContent>
            </w:sdt>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3 fatal events in 1 participant (CSR p. 128.)"/>
                <w:id w:val="1900000053"/>
              </w:sdtPr>
              <w:sdtContent>
                <w:r>
                  <w:rPr>
                    <w:rFonts w:ascii="Arial" w:hAnsi="Arial"/>
                    <w:color w:val="000000"/>
                    <w:sz w:val="18"/>
                  </w:rPr>
                  <w:t>3 fatal events in 1 participant (CSR p. 128.)</w:t>
                </w:r>
              </w:sdtContent>
            </w:sdt>
          </w:p>
        </w:tc>
      </w:tr>
      <w:tr>
        <w:trPr>
          <w:cantSplit/>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Adverse events of special interest, n (%) </w:t>
            </w:r>
          </w:p>
          <w:p>
            <w:pPr>
              <w:pStyle w:val="TableSubheadingCADTH"/>
              <w:jc w:val="start"/>
              <w:rPr/>
            </w:pPr>
            <w:r>
              <w:rPr/>
            </w:r>
          </w:p>
        </w:tc>
      </w:tr>
      <w:tr>
        <w:trPr>
          <w:trHeight w:val="22" w:hRule="atLeast"/>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Systematic review — harms — special-interest event name"/>
                <w:id w:val="1522498328"/>
              </w:sdtPr>
              <w:sdtContent>
                <w:r>
                  <w:rPr>
                    <w:rFonts w:ascii="Arial" w:hAnsi="Arial" w:cs="Arial"/>
                    <w:sz w:val="18"/>
                    <w:color w:val="000000"/>
                  </w:rPr>
                  <w:t xml:space="preserve">Gallbladder disorders; adjudicated pancreatitis. (CSR p. 129.)</w:t>
                </w:r>
              </w:sdtContent>
            </w:sdt>
            <w:r>
              <w:rPr>
                <w:color w:val="C00000"/>
              </w:rPr>
              <w:t>, n (%)</w:t>
            </w:r>
          </w:p>
          <w:p>
            <w:pPr>
              <w:pStyle w:val="TableBodyCopyCADTH"/>
              <w:rPr>
                <w:color w:val="C00000"/>
              </w:rPr>
            </w:pPr>
            <w:r>
              <w:rPr>
                <w:color w:val="C00000"/>
              </w:rPr>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1"/>
              <w:id w:val="1533928334"/>
            </w:sdtPr>
            <w:sdtContent>
              <w:p>
                <w:pPr>
                  <w:pStyle w:val="BodyCopyWorking"/>
                </w:pPr>
                <w:r>
                  <w:rPr>
                    <w:rFonts w:ascii="Arial" w:hAnsi="Arial" w:cs="Arial"/>
                    <w:sz w:val="18"/>
                    <w:color w:val="000000"/>
                  </w:rPr>
                  <w:t xml:space="preserve">Gallbladder: 34 (2.6%); adjudicated pancreatitis: 3 (0.2%) (CSR p. 129.)</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2"/>
              <w:id w:val="1291278805"/>
            </w:sdtPr>
            <w:sdtContent>
              <w:p>
                <w:pPr>
                  <w:pStyle w:val="BodyCopyWorking"/>
                </w:pPr>
                <w:r>
                  <w:rPr>
                    <w:rFonts w:ascii="Arial" w:hAnsi="Arial" w:cs="Arial"/>
                    <w:sz w:val="18"/>
                    <w:color w:val="000000"/>
                  </w:rPr>
                  <w:t xml:space="preserve">Gallbladder: 8 (1.2%); adjudicated pancreatitis: 0 (CSR p. 129.)</w:t>
                </w:r>
              </w:p>
            </w:sdtContent>
          </w:sdt>
        </w:tc>
      </w:tr>
      <w:tr>
        <w:trPr>
          <w:trHeight w:val="22" w:hRule="atLeast"/>
          <w:cantSpli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GI: 969 (74.2%); cardiovascular (in-trial): 107 (8.2%) (CSR p. 12"/>
                <w:id w:val="1900000054"/>
              </w:sdtPr>
              <w:sdtContent>
                <w:r>
                  <w:rPr>
                    <w:rFonts w:ascii="Arial" w:hAnsi="Arial"/>
                    <w:color w:val="000000"/>
                    <w:sz w:val="18"/>
                  </w:rPr>
                  <w:t>GI: 969 (74.2%); cardiovascular (in-trial): 107 (8.2%) (CSR p. 129.)</w:t>
                </w:r>
              </w:sdtContent>
            </w:sdt>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GI: 314 (47.9%); cardiovascular (in-trial): 75 (11.5%) (CSR p. 12"/>
                <w:id w:val="1900000055"/>
              </w:sdtPr>
              <w:sdtContent>
                <w:r>
                  <w:rPr>
                    <w:rFonts w:ascii="Arial" w:hAnsi="Arial"/>
                    <w:color w:val="000000"/>
                    <w:sz w:val="18"/>
                  </w:rPr>
                  <w:t>GI: 314 (47.9%); cardiovascular (in-trial): 75 (11.5%) (CSR p. 129.)</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InstructionsWorking"/>
        <w:numPr>
          <w:ilvl w:val="0"/>
          <w:numId w:val="0"/>
        </w:numPr>
        <w:ind w:hanging="0" w:start="0"/>
        <w:rPr>
          <w:sz w:val="20"/>
          <w:szCs w:val="20"/>
        </w:rPr>
      </w:pPr>
      <w:r>
        <w:rPr>
          <w:sz w:val="20"/>
          <w:szCs w:val="20"/>
        </w:rPr>
      </w:r>
    </w:p>
    <w:p>
      <w:pPr>
        <w:pStyle w:val="Subheadinglvl2Working"/>
        <w:rPr/>
      </w:pPr>
      <w:bookmarkStart w:id="90" w:name="_Toc417656146"/>
      <w:bookmarkStart w:id="91" w:name="_Toc512523027"/>
      <w:bookmarkStart w:id="92" w:name="_Toc512523082"/>
      <w:bookmarkStart w:id="93" w:name="_Toc512523489"/>
      <w:r>
        <w:rPr/>
        <w:t>Safety Evaluation Plan</w:t>
      </w:r>
      <w:bookmarkEnd w:id="90"/>
      <w:bookmarkEnd w:id="91"/>
      <w:bookmarkEnd w:id="92"/>
      <w:bookmarkEnd w:id="93"/>
    </w:p>
    <w:p>
      <w:pPr>
        <w:pStyle w:val="InstructionsWorking"/>
        <w:numPr>
          <w:ilvl w:val="0"/>
          <w:numId w:val="0"/>
        </w:numPr>
        <w:ind w:hanging="0" w:start="0"/>
        <w:rPr/>
      </w:pPr>
      <w:sdt>
        <w:sdtPr>
          <w:alias w:val="Safety evaluation plan"/>
          <w:id w:val="25554223"/>
        </w:sdtPr>
        <w:sdtContent>
          <w:r>
            <w:rPr>
              <w:rFonts w:ascii="Arial" w:hAnsi="Arial" w:cs="Arial"/>
              <w:sz w:val="20"/>
              <w:color w:val="000000"/>
            </w:rPr>
            <w:t xml:space="preserve">Safety used the SAS. AEs/SAEs generally used on-treatment exposure with a 49-day window; deaths and selected long-latency events used the in-trial period. Selected events were independently adjudicated, and MedDRA 22.1 was used for coding. Safety was descriptive. (CSR pp. 30, 36, 47-51, 58, 127-129.)</w:t>
          </w:r>
        </w:sdtContent>
      </w:sdt>
    </w:p>
    <w:sdt>
      <w:sdtPr>
        <w:alias w:val="Systematic review — safety evaluation plan"/>
        <w:id w:val="1037532054"/>
      </w:sdtPr>
      <w:sdtContent>
        <w:p>
          <w:pPr>
            <w:pStyle w:val="BodyCopyWorking"/>
          </w:pPr>
          <w:r>
            <w:rPr>
              <w:rFonts w:ascii="Arial" w:hAnsi="Arial"/>
              <w:sz w:val="20"/>
              <w:color w:val="000000"/>
            </w:rPr>
            <w:t xml:space="preserve">Safety used the SAS. AEs/SAEs generally used on-treatment exposure with a 49-day window; deaths and selected long-latency events used the in-trial period. Selected events were independently adjudicated, and MedDRA 22.1 was used for coding. Safety was descriptive. (CSR pp. 30, 36, 47-51, 58, 127-129.)</w:t>
          </w:r>
        </w:p>
      </w:sdtContent>
    </w:sdt>
    <w:p>
      <w:pPr>
        <w:pStyle w:val="Subheadinglvl2Working"/>
        <w:rPr/>
      </w:pPr>
      <w:bookmarkStart w:id="94" w:name="_Toc417656148"/>
      <w:bookmarkStart w:id="95" w:name="_Toc512523029"/>
      <w:bookmarkStart w:id="96" w:name="_Toc512523084"/>
      <w:bookmarkStart w:id="97" w:name="_Toc512523491"/>
      <w:r>
        <w:rPr/>
        <w:t>Overview of Safety</w:t>
      </w:r>
      <w:bookmarkEnd w:id="94"/>
      <w:bookmarkEnd w:id="95"/>
      <w:bookmarkEnd w:id="96"/>
      <w:bookmarkEnd w:id="97"/>
    </w:p>
    <w:sdt>
      <w:sdtPr>
        <w:alias w:val="Systematic review — overview of safety"/>
        <w:id w:val="298910876"/>
      </w:sdtPr>
      <w:sdtContent>
        <w:p>
          <w:pPr>
            <w:pStyle w:val="BodyCopyWorking"/>
          </w:pPr>
          <w:r>
            <w:rPr>
              <w:rFonts w:ascii="Arial" w:hAnsi="Arial"/>
              <w:sz w:val="20"/>
              <w:color w:val="000000"/>
            </w:rPr>
            <w:t xml:space="preserve">On-treatment AEs occurred in 1,171/1,306 (89.7%) versus 566/655 (86.4%); SAEs in 128 (9.8%) versus 42 (6.4%); and AEs leading to permanent treatment discontinuation in 92 (7.0%) versus 20 (3.1%), for semaglutide versus placebo. There was 1 death in each group during the in-trial period. (CSR p. 128, Table 12-1.)</w:t>
          </w:r>
        </w:p>
      </w:sdtContent>
    </w:sdt>
    <w:sdt>
      <w:sdtPr>
        <w:alias w:val="Overview of safety"/>
        <w:id w:val="1812042767"/>
      </w:sdtPr>
      <w:sdtContent>
        <w:p>
          <w:pPr>
            <w:pStyle w:val="BodyCopyWorking"/>
          </w:pPr>
          <w:r>
            <w:rPr>
              <w:rFonts w:ascii="Arial" w:hAnsi="Arial" w:cs="Arial"/>
              <w:sz w:val="20"/>
              <w:color w:val="000000"/>
            </w:rPr>
            <w:t xml:space="preserve">On-treatment AEs occurred in 1,171/1,306 (89.7%) versus 566/655 (86.4%); SAEs in 128 (9.8%) versus 42 (6.4%); and AEs leading to permanent treatment discontinuation in 92 (7.0%) versus 20 (3.1%), for semaglutide versus placebo. There was 1 death in each group during the in-trial period. (CSR p. 128, Table 12-1.)</w:t>
          </w:r>
        </w:p>
      </w:sdtContent>
    </w:sdt>
    <w:p>
      <w:pPr>
        <w:pStyle w:val="Subheadinglvl2Working"/>
        <w:rPr/>
      </w:pPr>
      <w:bookmarkStart w:id="98" w:name="_Ref13041940"/>
      <w:bookmarkStart w:id="99" w:name="_Toc13042130"/>
      <w:r>
        <w:rPr/>
        <w:t>Adverse Events</w:t>
      </w:r>
    </w:p>
    <w:p>
      <w:pPr>
        <w:pStyle w:val="InstructionsWorking"/>
        <w:numPr>
          <w:ilvl w:val="0"/>
          <w:numId w:val="0"/>
        </w:numPr>
        <w:ind w:hanging="360" w:start="360"/>
        <w:rPr/>
      </w:pPr>
      <w:sdt>
        <w:sdtPr>
          <w:alias w:val="Treatment-emergent adverse events"/>
          <w:id w:val="8283627"/>
        </w:sdtPr>
        <w:sdtContent>
          <w:r>
            <w:rPr>
              <w:rFonts w:ascii="Arial" w:hAnsi="Arial" w:cs="Arial"/>
              <w:sz w:val="20"/>
              <w:color w:val="000000"/>
            </w:rPr>
            <w:t xml:space="preserve">Gastrointestinal AEs occurred in 969 (74.2%) versus 314 (47.9%); nausea 577 (44.2%) versus 114 (17.4%), diarrhoea 412 (31.5%) versus 104 (15.9%), vomiting 324 (24.8%) versus 43 (6.6%), and constipation 306 (23.4%) versus 62 (9.5%). Most GI events were non-serious and mild/moderate. (CSR p. 141, Table 12-10.)</w:t>
          </w:r>
        </w:sdtContent>
      </w:sdt>
    </w:p>
    <w:sdt>
      <w:sdtPr>
        <w:alias w:val="Systematic review — adverse events narrative"/>
        <w:id w:val="680440901"/>
      </w:sdtPr>
      <w:sdtContent>
        <w:p>
          <w:pPr>
            <w:pStyle w:val="BodyCopyWorking"/>
          </w:pPr>
          <w:r>
            <w:rPr>
              <w:rFonts w:ascii="Arial" w:hAnsi="Arial"/>
              <w:sz w:val="20"/>
              <w:color w:val="000000"/>
            </w:rPr>
            <w:t xml:space="preserve">Gastrointestinal AEs occurred in 969 (74.2%) versus 314 (47.9%); nausea 577 (44.2%) versus 114 (17.4%), diarrhoea 412 (31.5%) versus 104 (15.9%), vomiting 324 (24.8%) versus 43 (6.6%), and constipation 306 (23.4%) versus 62 (9.5%). Most GI events were non-serious and mild/moderate. (CSR p. 141, Table 12-10.)</w:t>
          </w:r>
        </w:p>
      </w:sdtContent>
    </w:sdt>
    <w:p>
      <w:pPr>
        <w:pStyle w:val="Subheadinglvl2Working"/>
        <w:rPr/>
      </w:pPr>
      <w:r>
        <w:rPr/>
        <w:t>Serious Adverse Events</w:t>
      </w:r>
    </w:p>
    <w:p>
      <w:pPr>
        <w:pStyle w:val="InstructionsWorking"/>
        <w:numPr>
          <w:ilvl w:val="0"/>
          <w:numId w:val="0"/>
        </w:numPr>
        <w:ind w:hanging="360" w:start="360"/>
        <w:rPr/>
      </w:pPr>
      <w:sdt>
        <w:sdtPr>
          <w:alias w:val="Serious adverse events"/>
          <w:id w:val="1300731115"/>
        </w:sdtPr>
        <w:sdtContent>
          <w:r>
            <w:rPr>
              <w:rFonts w:ascii="Arial" w:hAnsi="Arial" w:cs="Arial"/>
              <w:sz w:val="20"/>
              <w:color w:val="000000"/>
            </w:rPr>
            <w:t xml:space="preserve">SAEs affected 128 (9.8%) versus 42 (6.4%); 164 versus 53 events, or 9.6 versus 6.4 events per 100 patient-years. Serious GI disorders occurred in 18 (1.4%) versus 0; hepatobiliary disorders in 17 (1.3%) versus 1 (0.2%). (CSR pp. 134-135, Table 12-5.)</w:t>
          </w:r>
        </w:sdtContent>
      </w:sdt>
    </w:p>
    <w:sdt>
      <w:sdtPr>
        <w:alias w:val="Systematic review — serious adverse events narrative"/>
        <w:id w:val="1418799728"/>
      </w:sdtPr>
      <w:sdtContent>
        <w:p>
          <w:pPr>
            <w:pStyle w:val="BodyCopyWorking"/>
          </w:pPr>
          <w:r>
            <w:rPr>
              <w:rFonts w:ascii="Arial" w:hAnsi="Arial"/>
              <w:sz w:val="20"/>
              <w:color w:val="000000"/>
            </w:rPr>
            <w:t xml:space="preserve">SAEs affected 128 (9.8%) versus 42 (6.4%); 164 versus 53 events, or 9.6 versus 6.4 events per 100 patient-years. Serious GI disorders occurred in 18 (1.4%) versus 0; hepatobiliary disorders in 17 (1.3%) versus 1 (0.2%). (CSR pp. 134-135, Table 12-5.)</w:t>
          </w:r>
        </w:p>
      </w:sdtContent>
    </w:sdt>
    <w:p>
      <w:pPr>
        <w:pStyle w:val="Subheadinglvl2Working"/>
        <w:rPr/>
      </w:pPr>
      <w:r>
        <w:rPr/>
        <w:t>Withdrawals Due to Adverse Events</w:t>
      </w:r>
    </w:p>
    <w:sdt>
      <w:sdtPr>
        <w:alias w:val="Withdrawls"/>
        <w:id w:val="1407394812"/>
      </w:sdtPr>
      <w:sdtContent>
        <w:p>
          <w:pPr>
            <w:pStyle w:val="BodyCopyWorking"/>
          </w:pPr>
          <w:r>
            <w:rPr>
              <w:rFonts w:ascii="Arial" w:hAnsi="Arial"/>
              <w:sz w:val="20"/>
              <w:color w:val="000000"/>
            </w:rPr>
            <w:t xml:space="preserve">AE-form counts for permanent treatment discontinuation were 92 (7.0%) versus 20 (3.1%); end-of-trial-form counts were 91 (7.0%) versus 21 (3.2%). The CSR explicitly explains this one-participant-per-arm discrepancy. Trial withdrawal is separate: Table 12-7 lists 4 semaglutide and 1 placebo participants withdrawing consent with reasons mentioning AEs, plus 1 death per arm; AE-related trial withdrawal was not systematically collected. (CSR pp. 65, 136-137, Tables 12-7 and 12-8.)</w:t>
          </w:r>
        </w:p>
      </w:sdtContent>
    </w:sdt>
    <w:p>
      <w:pPr>
        <w:pStyle w:val="Normal"/>
        <w:spacing w:lineRule="auto" w:line="276"/>
        <w:rPr/>
      </w:pPr>
      <w:sdt>
        <w:sdtPr>
          <w:alias w:val="Withdrawals due to adverse events"/>
          <w:id w:val="517772690"/>
        </w:sdtPr>
        <w:sdtContent>
          <w:r>
            <w:rPr>
              <w:rFonts w:ascii="Arial" w:hAnsi="Arial" w:cs="Arial"/>
              <w:sz w:val="20"/>
              <w:color w:val="000000"/>
            </w:rPr>
            <w:t xml:space="preserve">AE-form counts for permanent treatment discontinuation were 92 (7.0%) versus 20 (3.1%); end-of-trial-form counts were 91 (7.0%) versus 21 (3.2%). The CSR explicitly explains this one-participant-per-arm discrepancy. Trial withdrawal is separate: Table 12-7 lists 4 semaglutide and 1 placebo participants withdrawing consent with reasons mentioning AEs, plus 1 death per arm; AE-related trial withdrawal was not systematically collected. (CSR pp. 65, 136-137, Tables 12-7 and 12-8.)</w:t>
          </w:r>
        </w:sdtContent>
      </w:sdt>
    </w:p>
    <w:p>
      <w:pPr>
        <w:pStyle w:val="Subheadinglvl2Working"/>
        <w:rPr/>
      </w:pPr>
      <w:r>
        <w:rPr/>
        <w:t>Adverse Events of Special Interest</w:t>
      </w:r>
    </w:p>
    <w:p>
      <w:pPr>
        <w:pStyle w:val="InstructionsWorking"/>
        <w:numPr>
          <w:ilvl w:val="0"/>
          <w:numId w:val="0"/>
        </w:numPr>
        <w:ind w:hanging="0" w:start="0"/>
        <w:rPr/>
      </w:pPr>
      <w:sdt>
        <w:sdtPr>
          <w:alias w:val="Adverse events of special interest"/>
          <w:id w:val="1880334514"/>
        </w:sdtPr>
        <w:sdtContent>
          <w:r>
            <w:rPr>
              <w:rFonts w:ascii="Arial" w:hAnsi="Arial" w:cs="Arial"/>
              <w:sz w:val="20"/>
              <w:color w:val="000000"/>
            </w:rPr>
            <w:t xml:space="preserve">Safety focus areas included GI and gallbladder disorders, pancreatitis, cardiovascular disorders, neoplasms, hepatic events, renal failure, hypoglycaemia, injection-site/allergic reactions, psychiatric disorders and medication errors. Gallbladder disorders: 34 (2.6%) versus 8 (1.2%); adjudicated pancreatitis: 3 (0.2%) versus 0. (CSR p. 129, Table 12-2.) Pulse-rate difference at week 68 was +4.26 beats/min (95% CI 3.38 to 5.15). (CSR p. 187.)</w:t>
          </w:r>
        </w:sdtContent>
      </w:sdt>
    </w:p>
    <w:sdt>
      <w:sdtPr>
        <w:alias w:val="Systematic review — adverse events of special interest"/>
        <w:id w:val="951825012"/>
      </w:sdtPr>
      <w:sdtContent>
        <w:p>
          <w:pPr>
            <w:pStyle w:val="BodyCopyWorking"/>
          </w:pPr>
          <w:r>
            <w:rPr>
              <w:rFonts w:ascii="Arial" w:hAnsi="Arial"/>
              <w:sz w:val="20"/>
              <w:color w:val="000000"/>
            </w:rPr>
            <w:t xml:space="preserve">Safety focus areas included GI and gallbladder disorders, pancreatitis, cardiovascular disorders, neoplasms, hepatic events, renal failure, hypoglycaemia, injection-site/allergic reactions, psychiatric disorders and medication errors. Gallbladder disorders: 34 (2.6%) versus 8 (1.2%); adjudicated pancreatitis: 3 (0.2%) versus 0. (CSR p. 129, Table 12-2.) Pulse-rate difference at week 68 was +4.26 beats/min (95% CI 3.38 to 5.15). (CSR p. 187.)</w:t>
          </w:r>
        </w:p>
      </w:sdtContent>
    </w:sdt>
    <w:p>
      <w:pPr>
        <w:pStyle w:val="Headinglvl1Working"/>
        <w:rPr/>
      </w:pPr>
      <w:bookmarkStart w:id="102" w:name="_Toc216182107"/>
      <w:bookmarkStart w:id="103" w:name="_Toc436038456"/>
      <w:bookmarkStart w:id="104" w:name="_Toc8648589"/>
      <w:bookmarkStart w:id="105" w:name="_Toc93475837"/>
      <w:bookmarkStart w:id="106" w:name="__RefHeading___Toc6226_3477833118"/>
      <w:bookmarkEnd w:id="98"/>
      <w:bookmarkEnd w:id="99"/>
      <w:bookmarkEnd w:id="100"/>
      <w:bookmarkEnd w:id="101"/>
      <w:bookmarkEnd w:id="106"/>
      <w:r>
        <w:rPr/>
        <w:t>Sponsor Summary and Conclusion</w:t>
      </w:r>
      <w:bookmarkEnd w:id="102"/>
      <w:bookmarkEnd w:id="105"/>
    </w:p>
    <w:sdt>
      <w:sdtPr>
        <w:alias w:val="Systematic review — sponsor summary and conclusion"/>
        <w:id w:val="1546147757"/>
      </w:sdtPr>
      <w:sdtContent>
        <w:p>
          <w:pPr>
            <w:pStyle w:val="BodyCopyWorking"/>
          </w:pPr>
          <w:r>
            <w:rPr>
              <w:rFonts w:ascii="Arial" w:hAnsi="Arial"/>
              <w:sz w:val="20"/>
              <w:color w:val="000000"/>
            </w:rPr>
            <w:t xml:space="preserve">The sponsor concluded that semaglutide was superior to placebo for both primary and all confirmatory secondary endpoints, with sensitivity analyses supporting robustness. Gastrointestinal adverse effects and treatment discontinuation were more frequent with semaglutide. This describes the CSR conclusion and does not establish reimbursement or comparative efficacy against active treatments. (CSR pp. 87, 128, 188-190.)</w:t>
          </w:r>
        </w:p>
      </w:sdtContent>
    </w:sdt>
    <w:p>
      <w:pPr>
        <w:pStyle w:val="Normal"/>
        <w:spacing w:lineRule="auto" w:line="276"/>
        <w:rPr/>
      </w:pPr>
      <w:sdt>
        <w:sdtPr>
          <w:alias w:val="Summary and conclusions"/>
          <w:id w:val="886376493"/>
        </w:sdtPr>
        <w:sdtContent>
          <w:r>
            <w:rPr>
              <w:rFonts w:ascii="Arial" w:hAnsi="Arial" w:cs="Arial"/>
              <w:sz w:val="20"/>
              <w:color w:val="000000"/>
            </w:rPr>
            <w:t xml:space="preserve">The sponsor concluded that semaglutide was superior to placebo for both primary and all confirmatory secondary endpoints, with sensitivity analyses supporting robustness. Gastrointestinal adverse effects and treatment discontinuation were more frequent with semaglutide. This describes the CSR conclusion and does not establish reimbursement or comparative efficacy against active treatments. (CSR pp. 87, 128, 188-190.)</w:t>
          </w:r>
        </w:sdtContent>
      </w:sdt>
    </w:p>
    <w:p>
      <w:pPr>
        <w:pStyle w:val="Headinglvl1Working"/>
        <w:spacing w:lineRule="auto" w:line="276"/>
        <w:rPr/>
      </w:pPr>
      <w:bookmarkStart w:id="107" w:name="_Toc216182108"/>
      <w:bookmarkStart w:id="108" w:name="__RefHeading___Toc6224_3477833118"/>
      <w:bookmarkEnd w:id="108"/>
      <w:r>
        <w:rPr/>
        <w:t>Sponsor Identified Gaps in the Evidence</w:t>
      </w:r>
      <w:bookmarkEnd w:id="107"/>
    </w:p>
    <w:sdt>
      <w:sdtPr>
        <w:alias w:val="Systematic review — sponsor identified gaps"/>
        <w:id w:val="957324082"/>
      </w:sdtPr>
      <w:sdtContent>
        <w:p>
          <w:pPr>
            <w:pStyle w:val="BodyCopyWorking"/>
          </w:pPr>
          <w:r>
            <w:rPr>
              <w:rFonts w:ascii="Arial" w:hAnsi="Arial"/>
              <w:sz w:val="20"/>
              <w:color w:val="000000"/>
            </w:rPr>
            <w:t xml:space="preserve">The CSR does not provide a CDA-AMC sponsor gap assessment. Source limitations relevant here are a placebo-only comparator, exclusion of type 2 diabetes, 68-week treatment duration, and separately reported extension results. The SF-36 baseline ceiling limited potential improvement. (CSR pp. 35-37, 115.)</w:t>
          </w:r>
        </w:p>
      </w:sdtContent>
    </w:sdt>
    <w:sdt>
      <w:sdtPr>
        <w:alias w:val="Gaps in the evidence"/>
        <w:id w:val="1748456287"/>
      </w:sdtPr>
      <w:sdtContent>
        <w:p>
          <w:pPr>
            <w:pStyle w:val="BodyCopyWorking"/>
          </w:pPr>
          <w:r>
            <w:rPr>
              <w:rFonts w:ascii="Arial" w:hAnsi="Arial" w:cs="Arial"/>
              <w:sz w:val="20"/>
              <w:color w:val="000000"/>
            </w:rPr>
            <w:t xml:space="preserve">The CSR does not provide a CDA-AMC sponsor gap assessment. Source limitations relevant here are a placebo-only comparator, exclusion of type 2 diabetes, 68-week treatment duration, and separately reported extension results. The SF-36 baseline ceiling limited potential improvement. (CSR pp. 35-37, 115.)</w:t>
          </w:r>
        </w:p>
      </w:sdtContent>
    </w:sdt>
    <w:p>
      <w:pPr>
        <w:pStyle w:val="Normal"/>
        <w:rPr>
          <w:rFonts w:ascii="Arial" w:hAnsi="Arial" w:cs="Arial"/>
          <w:sz w:val="20"/>
          <w:szCs w:val="20"/>
        </w:rPr>
      </w:pPr>
      <w:r>
        <w:rPr>
          <w:rFonts w:cs="Arial" w:ascii="Arial" w:hAnsi="Arial"/>
          <w:sz w:val="20"/>
          <w:szCs w:val="20"/>
        </w:rPr>
      </w:r>
      <w:r>
        <w:br w:type="page"/>
      </w:r>
    </w:p>
    <w:p>
      <w:pPr>
        <w:pStyle w:val="SectionHeadingWorking"/>
        <w:spacing w:before="0" w:after="120"/>
        <w:rPr/>
      </w:pPr>
      <w:bookmarkStart w:id="109" w:name="_Toc216182109"/>
      <w:bookmarkStart w:id="110" w:name="_Toc93475842"/>
      <w:bookmarkStart w:id="111" w:name="__RefHeading___Toc6184_3477833118"/>
      <w:bookmarkEnd w:id="111"/>
      <w:r>
        <w:rPr/>
        <w:t>Section 3. Long-Term Extension Studies</w:t>
      </w:r>
      <w:bookmarkEnd w:id="109"/>
      <w:bookmarkEnd w:id="110"/>
    </w:p>
    <w:p>
      <w:pPr>
        <w:pStyle w:val="Normal"/>
        <w:spacing w:lineRule="auto" w:line="276"/>
        <w:rPr>
          <w:rFonts w:ascii="Arial" w:hAnsi="Arial" w:cs="Arial"/>
          <w:color w:val="C00000"/>
          <w:sz w:val="20"/>
          <w:szCs w:val="20"/>
        </w:rPr>
      </w:pPr>
      <w:r>
        <w:rPr>
          <w:rFonts w:cs="Arial" w:ascii="Arial" w:hAnsi="Arial"/>
          <w:color w:val="C00000"/>
          <w:sz w:val="20"/>
          <w:szCs w:val="20"/>
        </w:rPr>
        <w:t>This section should provide a brief summary of long-term extension studies that are completed or have interim analyses at the time of filing the application with CDA-AMC.</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If there are multiple studies, please summarize each study separately.</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If any information in the sections below is the same as the parent study and described previously in the template, please state this, and refer the reader to the appropriate sections of the report. Do not repeat the information in this section. </w:t>
      </w:r>
    </w:p>
    <w:p>
      <w:pPr>
        <w:pStyle w:val="Headinglvl1Working"/>
        <w:rPr/>
      </w:pPr>
      <w:bookmarkStart w:id="112" w:name="_Toc216182110"/>
      <w:bookmarkStart w:id="113" w:name="_Toc93475843"/>
      <w:bookmarkStart w:id="114" w:name="__RefHeading___Toc6222_3477833118"/>
      <w:bookmarkEnd w:id="114"/>
      <w:r>
        <w:rPr/>
        <w:t>Description of Studies</w:t>
      </w:r>
      <w:bookmarkEnd w:id="112"/>
      <w:bookmarkEnd w:id="113"/>
    </w:p>
    <w:p>
      <w:pPr>
        <w:pStyle w:val="Subheadinglvl1Working"/>
        <w:rPr/>
      </w:pPr>
      <w:r>
        <w:rPr/>
        <w:t xml:space="preserve">Study Design and Objectives </w:t>
      </w:r>
    </w:p>
    <w:p>
      <w:pPr>
        <w:pStyle w:val="Normal"/>
        <w:spacing w:lineRule="auto" w:line="276"/>
        <w:rPr/>
      </w:pPr>
      <w:sdt>
        <w:sdtPr>
          <w:alias w:val="Long-term - Description of studies: Study design and objectives"/>
          <w:id w:val="1100246410"/>
        </w:sdtPr>
        <w:sdtContent>
          <w:r>
            <w:rPr>
              <w:rFonts w:ascii="Arial" w:hAnsi="Arial" w:cs="Arial"/>
              <w:sz w:val="20"/>
              <w:color w:val="000000"/>
            </w:rPr>
            <w:t xml:space="preserve">Planned 52-week, open-label, off-treatment STEP 1 extension, without structured lifestyle intervention, targeting approximately 300 maintenance-dose completers from Canada, Germany, Japan, UK and US. Objective: assess post-treatment change in weight, cardiovascular risk factors and glucose metabolism. Results are outside this CSR. (CSR pp. 32, 35-36.)</w:t>
          </w:r>
        </w:sdtContent>
      </w:sdt>
    </w:p>
    <w:p>
      <w:pPr>
        <w:pStyle w:val="Subheadinglvl1Working"/>
        <w:rPr/>
      </w:pPr>
      <w:r>
        <w:rPr/>
        <w:t>Eligibility criteria</w:t>
      </w:r>
    </w:p>
    <w:p>
      <w:pPr>
        <w:pStyle w:val="Normal"/>
        <w:spacing w:lineRule="auto" w:line="360"/>
        <w:textAlignment w:val="baseline"/>
        <w:rPr/>
      </w:pPr>
      <w:sdt>
        <w:sdtPr>
          <w:alias w:val="Long-term - Description of studies: Eligibility criteria"/>
          <w:id w:val="1563606667"/>
        </w:sdtPr>
        <w:sdtContent>
          <w:r>
            <w:rPr>
              <w:rFonts w:ascii="Arial" w:hAnsi="Arial" w:cs="Arial"/>
              <w:sz w:val="20"/>
              <w:color w:val="000000"/>
            </w:rPr>
            <w:t xml:space="preserve">Planned subset completing the main phase on semaglutide 2.4 mg or matching placebo maintenance dose, from selected countries; target approximately 300 participants. Detailed extension eligibility is not reported here. (CSR pp.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Interventions</w:t>
      </w:r>
    </w:p>
    <w:p>
      <w:pPr>
        <w:pStyle w:val="Normal"/>
        <w:spacing w:lineRule="auto" w:line="276"/>
        <w:rPr/>
      </w:pPr>
      <w:sdt>
        <w:sdtPr>
          <w:alias w:val="Long-term - Description of studies: Intervention"/>
          <w:id w:val="1790111029"/>
        </w:sdtPr>
        <w:sdtContent>
          <w:r>
            <w:rPr>
              <w:rFonts w:ascii="Arial" w:hAnsi="Arial" w:cs="Arial"/>
              <w:sz w:val="20"/>
              <w:color w:val="000000"/>
            </w:rPr>
            <w:t xml:space="preserve">No trial product and no structured lifestyle intervention during the planned extension. (CSR p. 35.)</w:t>
          </w:r>
        </w:sdtContent>
      </w:sdt>
    </w:p>
    <w:p>
      <w:pPr>
        <w:pStyle w:val="Subheadinglvl1Working"/>
        <w:rPr/>
      </w:pPr>
      <w:r>
        <w:rPr/>
        <w:t>Outcomes</w:t>
      </w:r>
    </w:p>
    <w:p>
      <w:pPr>
        <w:pStyle w:val="Normal"/>
        <w:spacing w:lineRule="auto" w:line="276"/>
        <w:rPr/>
      </w:pPr>
      <w:sdt>
        <w:sdtPr>
          <w:alias w:val="Long-term - Description of studies: Outcomes"/>
          <w:id w:val="491286797"/>
        </w:sdtPr>
        <w:sdtContent>
          <w:r>
            <w:rPr>
              <w:rFonts w:ascii="Arial" w:hAnsi="Arial" w:cs="Arial"/>
              <w:sz w:val="20"/>
              <w:color w:val="000000"/>
            </w:rPr>
            <w:t xml:space="preserve">Planned evaluation of body-weight change, cardiovascular risk factors and glucose metabolism after treatment ended; detailed extension endpoint definitions and results are not reported. (CSR pp. 35-36.)</w:t>
          </w:r>
        </w:sdtContent>
      </w:sdt>
    </w:p>
    <w:p>
      <w:pPr>
        <w:pStyle w:val="Subheadinglvl1Working"/>
        <w:rPr/>
      </w:pPr>
      <w:r>
        <w:rPr/>
        <w:t>Statistical analysis</w:t>
      </w:r>
    </w:p>
    <w:p>
      <w:pPr>
        <w:pStyle w:val="Normal"/>
        <w:spacing w:lineRule="auto" w:line="276"/>
        <w:rPr/>
      </w:pPr>
      <w:sdt>
        <w:sdtPr>
          <w:alias w:val="Long-term - Description of studies: Statistical analysis"/>
          <w:id w:val="219415411"/>
        </w:sdtPr>
        <w:sdtContent>
          <w:r>
            <w:rPr>
              <w:rFonts w:ascii="Arial" w:hAnsi="Arial" w:cs="Arial"/>
              <w:sz w:val="20"/>
              <w:color w:val="000000"/>
            </w:rPr>
            <w:t xml:space="preserve">Extension results not reported in supplied CSR. (CSR pp. 32, 35-36.)</w:t>
          </w:r>
        </w:sdtContent>
      </w:sdt>
    </w:p>
    <w:p>
      <w:pPr>
        <w:pStyle w:val="Headinglvl1Working"/>
        <w:rPr/>
      </w:pPr>
      <w:bookmarkStart w:id="115" w:name="_Toc216182111"/>
      <w:bookmarkStart w:id="116" w:name="_Toc93475844"/>
      <w:bookmarkStart w:id="117" w:name="__RefHeading___Toc6220_3477833118"/>
      <w:bookmarkEnd w:id="117"/>
      <w:r>
        <w:rPr/>
        <w:t>Patient Population</w:t>
      </w:r>
      <w:bookmarkEnd w:id="115"/>
      <w:bookmarkEnd w:id="116"/>
    </w:p>
    <w:p>
      <w:pPr>
        <w:pStyle w:val="Subheadinglvl1Working"/>
        <w:rPr/>
      </w:pPr>
      <w:r>
        <w:rPr/>
        <w:t>Baseline characteristics</w:t>
      </w:r>
    </w:p>
    <w:p>
      <w:pPr>
        <w:pStyle w:val="Normal"/>
        <w:spacing w:lineRule="auto" w:line="276"/>
        <w:rPr/>
      </w:pPr>
      <w:sdt>
        <w:sdtPr>
          <w:alias w:val="Patient population: Baseline characteristics"/>
          <w:id w:val="1415065320"/>
        </w:sdtPr>
        <w:sdtContent>
          <w:r>
            <w:rPr>
              <w:rFonts w:ascii="Arial" w:hAnsi="Arial" w:cs="Arial"/>
              <w:sz w:val="20"/>
              <w:color w:val="000000"/>
            </w:rPr>
            <w:t xml:space="preserve">Extension results not reported in supplied CSR. (CSR pp. 32, 35-36.)</w:t>
          </w:r>
        </w:sdtContent>
      </w:sdt>
    </w:p>
    <w:p>
      <w:pPr>
        <w:pStyle w:val="TableTitleCADTH"/>
        <w:rPr>
          <w:rFonts w:cs="Arial"/>
          <w:color w:val="auto"/>
          <w:sz w:val="20"/>
          <w:szCs w:val="20"/>
          <w:lang w:val="en-CA"/>
        </w:rPr>
      </w:pPr>
      <w:bookmarkStart w:id="118" w:name="_Toc93475822"/>
      <w:r>
        <w:rPr>
          <w:rFonts w:cs="Arial"/>
          <w:color w:val="auto"/>
          <w:sz w:val="20"/>
          <w:szCs w:val="20"/>
          <w:lang w:val="en-CA"/>
        </w:rPr>
      </w:r>
      <w:r>
        <w:rPr>
          <w:rFonts w:cs="Arial"/>
          <w:bCs/>
          <w:color w:val="auto"/>
          <w:sz w:val="20"/>
          <w:szCs w:val="20"/>
          <w:lang w:val="en-CA"/>
        </w:rPr>
      </w:r>
      <w:r>
        <w:rPr>
          <w:rFonts w:cs="Arial"/>
          <w:color w:val="auto"/>
          <w:sz w:val="20"/>
          <w:szCs w:val="20"/>
          <w:lang w:val="en-CA"/>
        </w:rPr>
      </w:r>
      <w:bookmarkEnd w:id="118"/>
      <w:r>
        <w:t>Table 17: Summary of Baseline Characteristics</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cantSplit/>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cantSplit/>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baseline characteristics — Study 1 treatment 1"/>
                <w:id w:val="860771384"/>
              </w:sdtPr>
              <w:sdtContent>
                <w:r>
                  <w:rPr>
                    <w:rFonts w:ascii="Arial" w:hAnsi="Arial" w:cs="Arial"/>
                    <w:sz w:val="18"/>
                    <w:color w:val="000000"/>
                  </w:rPr>
                  <w:t xml:space="preserve">Extension results not reported in supplied CSR. (CSR pp. 32, 35-36.)</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1 treatment 1 sample size"/>
                <w:id w:val="1018778104"/>
              </w:sdtPr>
              <w:sdtContent>
                <w:r>
                  <w:rPr>
                    <w:rFonts w:ascii="Arial" w:hAnsi="Arial" w:cs="Arial"/>
                    <w:sz w:val="18"/>
                    <w:color w:val="000000"/>
                  </w:rPr>
                  <w:t xml:space="preserve">Extension results not reported in supplied CSR. (CSR pp. 32, 35-36.)</w:t>
                </w:r>
              </w:sdtContent>
            </w:sdt>
            <w:r>
              <w:rPr>
                <w:rFonts w:eastAsia="MS Mincho" w:cs="Arial"/>
                <w:bCs/>
                <w:color w:themeColor="text1" w:themeTint="f2" w:val="0D0D0D"/>
                <w:szCs w:val="18"/>
              </w:rPr>
              <w:t>)</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baseline characteristics — Study 1 treatment 2"/>
                <w:id w:val="1406005034"/>
              </w:sdtPr>
              <w:sdtContent>
                <w:r>
                  <w:rPr>
                    <w:rFonts w:ascii="Arial" w:hAnsi="Arial" w:cs="Arial"/>
                    <w:sz w:val="18"/>
                    <w:color w:val="000000"/>
                  </w:rPr>
                  <w:t xml:space="preserve">Extension results not reported in supplied CSR. (CSR pp. 32, 35-36.)</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1 treatment 2 sample size"/>
                <w:id w:val="65192411"/>
              </w:sdtPr>
              <w:sdtContent>
                <w:r>
                  <w:rPr>
                    <w:rFonts w:ascii="Arial" w:hAnsi="Arial" w:cs="Arial"/>
                    <w:sz w:val="18"/>
                    <w:color w:val="000000"/>
                  </w:rPr>
                  <w:t xml:space="preserve">Extension results not reported in supplied CSR. (CSR pp. 32, 35-36.)</w:t>
                </w:r>
              </w:sdtContent>
            </w:sdt>
            <w:r>
              <w:rPr>
                <w:rFonts w:eastAsia="MS Mincho" w:cs="Arial"/>
                <w:bCs/>
                <w:color w:themeColor="text1" w:themeTint="f2" w:val="0D0D0D"/>
                <w:szCs w:val="18"/>
              </w:rPr>
              <w:t>)</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rPr/>
            </w:pPr>
            <w:sdt>
              <w:sdtPr>
                <w:alias w:val="Long-term extension — baseline characteristics — Study 2 treatment 1"/>
                <w:id w:val="1731720032"/>
              </w:sdtPr>
              <w:sdtContent>
                <w:r>
                  <w:rPr>
                    <w:rFonts w:ascii="Arial" w:hAnsi="Arial" w:cs="Arial"/>
                    <w:sz w:val="18"/>
                    <w:color w:val="000000"/>
                  </w:rPr>
                  <w:t xml:space="preserve">Extension results not reported in supplied CSR. (CSR pp. 32, 35-36.)</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2 treatment 1 sample size"/>
                <w:id w:val="968217480"/>
              </w:sdtPr>
              <w:sdtContent>
                <w:r>
                  <w:rPr>
                    <w:rFonts w:ascii="Arial" w:hAnsi="Arial" w:cs="Arial"/>
                    <w:sz w:val="18"/>
                    <w:color w:val="000000"/>
                  </w:rPr>
                  <w:t xml:space="preserve">Extension results not reported in supplied CSR. (CSR pp. 32, 35-36.)</w:t>
                </w:r>
              </w:sdtContent>
            </w:sdt>
            <w:r>
              <w:rPr>
                <w:rFonts w:eastAsia="MS Mincho" w:cs="Arial"/>
                <w:bCs/>
                <w:color w:themeColor="text1" w:themeTint="f2" w:val="0D0D0D"/>
                <w:szCs w:val="18"/>
              </w:rPr>
              <w:t>)</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rPr/>
            </w:pPr>
            <w:sdt>
              <w:sdtPr>
                <w:alias w:val="Long-term extension — baseline characteristics — Study 2 treatment 2"/>
                <w:id w:val="338135094"/>
              </w:sdtPr>
              <w:sdtContent>
                <w:r>
                  <w:rPr>
                    <w:rFonts w:ascii="Arial" w:hAnsi="Arial" w:cs="Arial"/>
                    <w:sz w:val="18"/>
                    <w:color w:val="000000"/>
                  </w:rPr>
                  <w:t xml:space="preserve">Extension results not reported in supplied CSR. (CSR pp. 32, 35-36.)</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(N = )</w:t>
            </w:r>
            <w:sdt>
              <w:sdtPr>
                <w:alias w:val="Long-term extension — baseline characteristics — Study 2 treatment 2 sample size"/>
                <w:id w:val="1318482554"/>
              </w:sdtPr>
              <w:sdtContent>
                <w:r>
                  <w:rPr>
                    <w:rFonts w:ascii="Arial" w:hAnsi="Arial" w:cs="Arial"/>
                    <w:sz w:val="18"/>
                    <w:color w:val="000000"/>
                  </w:rPr>
                  <w:t xml:space="preserve">Extension results not reported in supplied CSR. (CSR pp. 32, 35-36.)</w:t>
                </w:r>
              </w:sdtContent>
            </w:sdt>
            <w:r>
              <w:rPr>
                <w:rFonts w:eastAsia="MS Mincho" w:cs="Arial"/>
                <w:bCs/>
                <w:color w:themeColor="text1" w:themeTint="f2" w:val="0D0D0D"/>
                <w:szCs w:val="18"/>
              </w:rPr>
              <w:t xml:space="preserve"> </w:t>
            </w:r>
          </w:p>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name"/>
              <w:id w:val="1049378464"/>
            </w:sdtPr>
            <w:sdtContent>
              <w:p>
                <w:pPr>
                  <w:pStyle w:val="BodyCopyWorking"/>
                </w:pPr>
                <w:r>
                  <w:rPr>
                    <w:rFonts w:ascii="Arial" w:hAnsi="Arial" w:cs="Arial"/>
                    <w:sz w:val="18"/>
                    <w:color w:val="000000"/>
                  </w:rPr>
                  <w:t xml:space="preserve">Extension results not reported in supplied CSR. (CSR pp.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1"/>
              <w:id w:val="256921940"/>
            </w:sdtPr>
            <w:sdtContent>
              <w:p>
                <w:pPr>
                  <w:pStyle w:val="BodyCopyWorking"/>
                </w:pPr>
                <w:r>
                  <w:rPr>
                    <w:rFonts w:ascii="Arial" w:hAnsi="Arial" w:cs="Arial"/>
                    <w:sz w:val="18"/>
                    <w:color w:val="000000"/>
                  </w:rPr>
                  <w:t xml:space="preserve">Extension results not reported in supplied CSR. (CSR pp.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2"/>
              <w:id w:val="1496407134"/>
            </w:sdtPr>
            <w:sdtContent>
              <w:p>
                <w:pPr>
                  <w:pStyle w:val="BodyCopyWorking"/>
                </w:pPr>
                <w:r>
                  <w:rPr>
                    <w:rFonts w:ascii="Arial" w:hAnsi="Arial" w:cs="Arial"/>
                    <w:sz w:val="18"/>
                    <w:color w:val="000000"/>
                  </w:rPr>
                  <w:t xml:space="preserve">Extension results not reported in supplied CSR. (CSR pp.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1"/>
              <w:id w:val="1836881752"/>
            </w:sdtPr>
            <w:sdtContent>
              <w:p>
                <w:pPr>
                  <w:pStyle w:val="BodyCopyWorking"/>
                </w:pPr>
                <w:r>
                  <w:rPr>
                    <w:rFonts w:ascii="Arial" w:hAnsi="Arial" w:cs="Arial"/>
                    <w:sz w:val="18"/>
                    <w:color w:val="000000"/>
                  </w:rPr>
                  <w:t xml:space="preserve">Extension results not reported in supplied CSR. (CSR pp.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2"/>
              <w:id w:val="1176438440"/>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name"/>
              <w:id w:val="968548643"/>
            </w:sdtPr>
            <w:sdtContent>
              <w:p>
                <w:pPr>
                  <w:pStyle w:val="BodyCopyWorking"/>
                </w:pPr>
                <w:r>
                  <w:rPr>
                    <w:rFonts w:ascii="Arial" w:hAnsi="Arial" w:cs="Arial"/>
                    <w:sz w:val="18"/>
                    <w:color w:val="000000"/>
                  </w:rPr>
                  <w:t xml:space="preserve">Extension results not reported in supplied CSR. (CSR pp.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1"/>
              <w:id w:val="1132590584"/>
            </w:sdtPr>
            <w:sdtContent>
              <w:p>
                <w:pPr>
                  <w:pStyle w:val="BodyCopyWorking"/>
                </w:pPr>
                <w:r>
                  <w:rPr>
                    <w:rFonts w:ascii="Arial" w:hAnsi="Arial" w:cs="Arial"/>
                    <w:sz w:val="18"/>
                    <w:color w:val="000000"/>
                  </w:rPr>
                  <w:t xml:space="preserve">Extension results not reported in supplied CSR. (CSR pp.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2"/>
              <w:id w:val="1575666822"/>
            </w:sdtPr>
            <w:sdtContent>
              <w:p>
                <w:pPr>
                  <w:pStyle w:val="BodyCopyWorking"/>
                </w:pPr>
                <w:r>
                  <w:rPr>
                    <w:rFonts w:ascii="Arial" w:hAnsi="Arial" w:cs="Arial"/>
                    <w:sz w:val="18"/>
                    <w:color w:val="000000"/>
                  </w:rPr>
                  <w:t xml:space="preserve">Extension results not reported in supplied CSR. (CSR pp.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1"/>
              <w:id w:val="1075297296"/>
            </w:sdtPr>
            <w:sdtContent>
              <w:p>
                <w:pPr>
                  <w:pStyle w:val="BodyCopyWorking"/>
                </w:pPr>
                <w:r>
                  <w:rPr>
                    <w:rFonts w:ascii="Arial" w:hAnsi="Arial" w:cs="Arial"/>
                    <w:sz w:val="18"/>
                    <w:color w:val="000000"/>
                  </w:rPr>
                  <w:t xml:space="preserve">Extension results not reported in supplied CSR. (CSR pp.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2"/>
              <w:id w:val="592307323"/>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name"/>
              <w:id w:val="1630721083"/>
            </w:sdtPr>
            <w:sdtContent>
              <w:p>
                <w:pPr>
                  <w:pStyle w:val="BodyCopyWorking"/>
                </w:pPr>
                <w:r>
                  <w:rPr>
                    <w:rFonts w:ascii="Arial" w:hAnsi="Arial" w:cs="Arial"/>
                    <w:sz w:val="18"/>
                    <w:color w:val="000000"/>
                  </w:rPr>
                  <w:t xml:space="preserve">Extension results not reported in supplied CSR. (CSR pp.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1"/>
              <w:id w:val="489454230"/>
            </w:sdtPr>
            <w:sdtContent>
              <w:p>
                <w:pPr>
                  <w:pStyle w:val="BodyCopyWorking"/>
                </w:pPr>
                <w:r>
                  <w:rPr>
                    <w:rFonts w:ascii="Arial" w:hAnsi="Arial" w:cs="Arial"/>
                    <w:sz w:val="18"/>
                    <w:color w:val="000000"/>
                  </w:rPr>
                  <w:t xml:space="preserve">Extension results not reported in supplied CSR. (CSR pp.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2"/>
              <w:id w:val="891586790"/>
            </w:sdtPr>
            <w:sdtContent>
              <w:p>
                <w:pPr>
                  <w:pStyle w:val="BodyCopyWorking"/>
                </w:pPr>
                <w:r>
                  <w:rPr>
                    <w:rFonts w:ascii="Arial" w:hAnsi="Arial" w:cs="Arial"/>
                    <w:sz w:val="18"/>
                    <w:color w:val="000000"/>
                  </w:rPr>
                  <w:t xml:space="preserve">Extension results not reported in supplied CSR. (CSR pp.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1"/>
              <w:id w:val="831097390"/>
            </w:sdtPr>
            <w:sdtContent>
              <w:p>
                <w:pPr>
                  <w:pStyle w:val="BodyCopyWorking"/>
                </w:pPr>
                <w:r>
                  <w:rPr>
                    <w:rFonts w:ascii="Arial" w:hAnsi="Arial" w:cs="Arial"/>
                    <w:sz w:val="18"/>
                    <w:color w:val="000000"/>
                  </w:rPr>
                  <w:t xml:space="preserve">Extension results not reported in supplied CSR. (CSR pp.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2"/>
              <w:id w:val="361470408"/>
            </w:sdtPr>
            <w:sdtContent>
              <w:p>
                <w:pPr>
                  <w:pStyle w:val="BodyCopyWorking"/>
                </w:pPr>
                <w:r>
                  <w:rPr>
                    <w:rFonts w:ascii="Arial" w:hAnsi="Arial" w:cs="Arial"/>
                    <w:sz w:val="18"/>
                    <w:color w:val="000000"/>
                  </w:rPr>
                  <w:t xml:space="preserve">Extension results not reported in supplied CSR. (CSR pp. 32, 35-36.)</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Normal"/>
        <w:rPr/>
      </w:pPr>
      <w:r>
        <w:rPr/>
      </w:r>
    </w:p>
    <w:p>
      <w:pPr>
        <w:pStyle w:val="Subheadinglvl1Working"/>
        <w:rPr/>
      </w:pPr>
      <w:r>
        <w:rPr/>
        <w:t>Patient Disposition</w:t>
      </w:r>
    </w:p>
    <w:p>
      <w:pPr>
        <w:pStyle w:val="Normal"/>
        <w:spacing w:lineRule="auto" w:line="276"/>
        <w:rPr/>
      </w:pPr>
      <w:sdt>
        <w:sdtPr>
          <w:alias w:val="Patient population: Patient disposition"/>
          <w:id w:val="2024381964"/>
        </w:sdtPr>
        <w:sdtContent>
          <w:r>
            <w:rPr>
              <w:rFonts w:ascii="Arial" w:hAnsi="Arial" w:cs="Arial"/>
              <w:sz w:val="20"/>
              <w:color w:val="000000"/>
            </w:rPr>
            <w:t xml:space="preserve">Extension results not reported in supplied CSR. (CSR pp. 32, 35-36.)</w:t>
          </w:r>
        </w:sdtContent>
      </w:sdt>
    </w:p>
    <w:p>
      <w:pPr>
        <w:pStyle w:val="Subheadinglvl1Working"/>
        <w:rPr/>
      </w:pPr>
      <w:r>
        <w:rPr/>
        <w:t>Exposure to study treatments</w:t>
      </w:r>
    </w:p>
    <w:p>
      <w:pPr>
        <w:pStyle w:val="Subheadinglvl2Working"/>
        <w:rPr/>
      </w:pPr>
      <w:r>
        <w:rPr/>
        <w:t>Study treatments</w:t>
      </w:r>
    </w:p>
    <w:p>
      <w:pPr>
        <w:pStyle w:val="InstructionsWorking"/>
        <w:numPr>
          <w:ilvl w:val="0"/>
          <w:numId w:val="0"/>
        </w:numPr>
        <w:ind w:hanging="0" w:start="0"/>
        <w:rPr/>
      </w:pPr>
      <w:sdt>
        <w:sdtPr>
          <w:alias w:val="Long-term - Exposure to study treatments"/>
          <w:id w:val="473484861"/>
        </w:sdtPr>
        <w:sdtContent>
          <w:r>
            <w:rPr>
              <w:rFonts w:ascii="Arial" w:hAnsi="Arial" w:cs="Arial"/>
              <w:sz w:val="20"/>
              <w:color w:val="000000"/>
            </w:rPr>
            <w:t xml:space="preserve">Extension results not reported in supplied CSR. (CSR pp. 32, 35-36.)</w:t>
          </w:r>
        </w:sdtContent>
      </w:sdt>
    </w:p>
    <w:p>
      <w:pPr>
        <w:pStyle w:val="TableTitleCADTH"/>
        <w:spacing w:lineRule="auto" w:line="360" w:before="240" w:after="0"/>
        <w:rPr>
          <w:rFonts w:cs="Arial"/>
          <w:color w:val="auto"/>
          <w:sz w:val="20"/>
          <w:szCs w:val="20"/>
        </w:rPr>
      </w:pPr>
      <w:r>
        <w:rPr>
          <w:rFonts w:cs="Arial"/>
          <w:color w:val="auto"/>
          <w:sz w:val="20"/>
          <w:szCs w:val="20"/>
        </w:rPr>
      </w:r>
      <w:r>
        <w:t>Table 18: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cantSpli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1 treatment 1"/>
                <w:id w:val="1104228471"/>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1 treatment 1 sample size"/>
                <w:id w:val="316662216"/>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1 treatment 2"/>
                <w:id w:val="1793804968"/>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1 treatment 2 sample size"/>
                <w:id w:val="1112836441"/>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2 treatment 1"/>
                <w:id w:val="2046945725"/>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2 treatment 1 sample size"/>
                <w:id w:val="228398045"/>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2 treatment 2"/>
                <w:id w:val="1218071684"/>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Long-term extension — patient exposure — Study 2 treatment 2 sample size"/>
                <w:id w:val="923021044"/>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1"/>
              <w:id w:val="687473353"/>
            </w:sdtPr>
            <w:sdtContent>
              <w:p>
                <w:pPr>
                  <w:pStyle w:val="BodyCopyWorking"/>
                </w:pPr>
                <w:r>
                  <w:rPr>
                    <w:rFonts w:ascii="Arial" w:hAnsi="Arial" w:cs="Arial"/>
                    <w:sz w:val="18"/>
                    <w:color w:val="000000"/>
                  </w:rPr>
                  <w:t xml:space="preserve">Extension results not reported in supplied CSR. (CSR pp.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2"/>
              <w:id w:val="15627698"/>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1"/>
              <w:id w:val="1395608667"/>
            </w:sdtPr>
            <w:sdtContent>
              <w:p>
                <w:pPr>
                  <w:pStyle w:val="BodyCopyWorking"/>
                </w:pPr>
                <w:r>
                  <w:rPr>
                    <w:rFonts w:ascii="Arial" w:hAnsi="Arial" w:cs="Arial"/>
                    <w:sz w:val="18"/>
                    <w:color w:val="000000"/>
                  </w:rPr>
                  <w:t xml:space="preserve">Extension results not reported in supplied CSR. (CSR pp.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2"/>
              <w:id w:val="1397983571"/>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1"/>
              <w:id w:val="972909407"/>
            </w:sdtPr>
            <w:sdtContent>
              <w:p>
                <w:pPr>
                  <w:pStyle w:val="BodyCopyWorking"/>
                </w:pPr>
                <w:r>
                  <w:rPr>
                    <w:rFonts w:ascii="Arial" w:hAnsi="Arial" w:cs="Arial"/>
                    <w:sz w:val="18"/>
                    <w:color w:val="000000"/>
                  </w:rPr>
                  <w:t xml:space="preserve">Extension results not reported in supplied CSR. (CSR pp.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2"/>
              <w:id w:val="1668824096"/>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1"/>
              <w:id w:val="489955367"/>
            </w:sdtPr>
            <w:sdtContent>
              <w:p>
                <w:pPr>
                  <w:pStyle w:val="BodyCopyWorking"/>
                </w:pPr>
                <w:r>
                  <w:rPr>
                    <w:rFonts w:ascii="Arial" w:hAnsi="Arial" w:cs="Arial"/>
                    <w:sz w:val="18"/>
                    <w:color w:val="000000"/>
                  </w:rPr>
                  <w:t xml:space="preserve">Extension results not reported in supplied CSR. (CSR pp.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2"/>
              <w:id w:val="293077732"/>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1"/>
              <w:id w:val="1693803272"/>
            </w:sdtPr>
            <w:sdtContent>
              <w:p>
                <w:pPr>
                  <w:pStyle w:val="BodyCopyWorking"/>
                </w:pPr>
                <w:r>
                  <w:rPr>
                    <w:rFonts w:ascii="Arial" w:hAnsi="Arial" w:cs="Arial"/>
                    <w:sz w:val="18"/>
                    <w:color w:val="000000"/>
                  </w:rPr>
                  <w:t xml:space="preserve">Extension results not reported in supplied CSR. (CSR pp.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2"/>
              <w:id w:val="799762949"/>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1"/>
              <w:id w:val="1715456774"/>
            </w:sdtPr>
            <w:sdtContent>
              <w:p>
                <w:pPr>
                  <w:pStyle w:val="BodyCopyWorking"/>
                </w:pPr>
                <w:r>
                  <w:rPr>
                    <w:rFonts w:ascii="Arial" w:hAnsi="Arial" w:cs="Arial"/>
                    <w:sz w:val="18"/>
                    <w:color w:val="000000"/>
                  </w:rPr>
                  <w:t xml:space="preserve">Extension results not reported in supplied CSR. (CSR pp.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2"/>
              <w:id w:val="1510024955"/>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1"/>
              <w:id w:val="992377972"/>
            </w:sdtPr>
            <w:sdtContent>
              <w:p>
                <w:pPr>
                  <w:pStyle w:val="BodyCopyWorking"/>
                </w:pPr>
                <w:r>
                  <w:rPr>
                    <w:rFonts w:ascii="Arial" w:hAnsi="Arial" w:cs="Arial"/>
                    <w:sz w:val="18"/>
                    <w:color w:val="000000"/>
                  </w:rPr>
                  <w:t xml:space="preserve">Extension results not reported in supplied CSR. (CSR pp.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2"/>
              <w:id w:val="195201594"/>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1"/>
              <w:id w:val="1504423395"/>
            </w:sdtPr>
            <w:sdtContent>
              <w:p>
                <w:pPr>
                  <w:pStyle w:val="BodyCopyWorking"/>
                </w:pPr>
                <w:r>
                  <w:rPr>
                    <w:rFonts w:ascii="Arial" w:hAnsi="Arial" w:cs="Arial"/>
                    <w:sz w:val="18"/>
                    <w:color w:val="000000"/>
                  </w:rPr>
                  <w:t xml:space="preserve">Extension results not reported in supplied CSR. (CSR pp.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2"/>
              <w:id w:val="1382578428"/>
            </w:sdtPr>
            <w:sdtContent>
              <w:p>
                <w:pPr>
                  <w:pStyle w:val="BodyCopyWorking"/>
                </w:pPr>
                <w:r>
                  <w:rPr>
                    <w:rFonts w:ascii="Arial" w:hAnsi="Arial" w:cs="Arial"/>
                    <w:sz w:val="18"/>
                    <w:color w:val="000000"/>
                  </w:rPr>
                  <w:t xml:space="preserve">Extension results not reported in supplied CSR. (CSR pp. 32, 35-36.)</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sdt>
      <w:sdtPr>
        <w:alias w:val="Long-term: Concomitant medications and co-interventions"/>
        <w:id w:val="682740380"/>
      </w:sdtPr>
      <w:sdtContent>
        <w:p>
          <w:pPr>
            <w:pStyle w:val="BodyCopyWorking"/>
          </w:pPr>
          <w:r>
            <w:rPr>
              <w:rFonts w:ascii="Arial" w:hAnsi="Arial" w:cs="Arial"/>
              <w:sz w:val="20"/>
              <w:color w:val="000000"/>
            </w:rPr>
            <w:t xml:space="preserve">Extension results not reported in supplied CSR. (CSR pp. 32, 35-36.)</w:t>
          </w:r>
        </w:p>
      </w:sdtContent>
    </w:sdt>
    <w:p>
      <w:pPr>
        <w:pStyle w:val="Subheadinglvl2Working"/>
        <w:rPr/>
      </w:pPr>
      <w:r>
        <w:rPr/>
        <w:t>Subsequent treatment (if applicable)</w:t>
      </w:r>
    </w:p>
    <w:p>
      <w:pPr>
        <w:pStyle w:val="Normal"/>
        <w:spacing w:lineRule="auto" w:line="276"/>
        <w:rPr/>
      </w:pPr>
      <w:sdt>
        <w:sdtPr>
          <w:alias w:val="Subsequent treatment"/>
          <w:id w:val="1673917880"/>
        </w:sdtPr>
        <w:sdtContent>
          <w:r>
            <w:rPr>
              <w:rFonts w:ascii="Arial" w:hAnsi="Arial" w:cs="Arial"/>
              <w:sz w:val="20"/>
              <w:color w:val="000000"/>
            </w:rPr>
            <w:t xml:space="preserve">Extension results not reported in supplied CSR. (CSR pp.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 xml:space="preserve">Table </w:t>
      </w:r>
      <w:sdt>
        <w:sdtPr>
          <w:alias w:val="Subsequent treatment table — number"/>
          <w:id w:val="2069259673"/>
        </w:sdtPr>
        <w:sdtContent>
          <w:r>
            <w:rPr>
              <w:rFonts w:ascii="Arial" w:hAnsi="Arial" w:cs="Arial"/>
              <w:sz w:val="20"/>
              <w:color w:val="000000"/>
            </w:rPr>
            <w:t xml:space="preserve">19</w:t>
          </w:r>
        </w:sdtContent>
      </w:sdt>
      <w:r>
        <w:rPr>
          <w:rFonts w:cs="Arial" w:ascii="Arial" w:hAnsi="Arial"/>
          <w:b/>
          <w:bCs/>
          <w:sz w:val="20"/>
          <w:szCs w:val="20"/>
        </w:rPr>
        <w:t>: Sample Table for Subsequent Treatment</w:t>
      </w:r>
    </w:p>
    <w:tbl>
      <w:tblPr>
        <w:tblW w:w="10290"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402"/>
        <w:gridCol w:w="1588"/>
        <w:gridCol w:w="1673"/>
        <w:gridCol w:w="1812"/>
        <w:gridCol w:w="1815"/>
      </w:tblGrid>
      <w:tr>
        <w:trPr>
          <w:trHeight w:val="90" w:hRule="atLeast"/>
          <w:cantSplit/>
        </w:trPr>
        <w:tc>
          <w:tcPr>
            <w:tcW w:w="3401"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401"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1 treatment 1"/>
                <w:id w:val="1253870556"/>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1 treatment 1 sample size"/>
                <w:id w:val="125308987"/>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1 treatment 2"/>
                <w:id w:val="1622306352"/>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1 treatment 2 sample size"/>
                <w:id w:val="975698258"/>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2 treatment 1"/>
                <w:id w:val="1047274749"/>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2 treatment 1 sample size"/>
                <w:id w:val="114395385"/>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2 treatment 2"/>
                <w:id w:val="1910570741"/>
              </w:sdtPr>
              <w:sdtContent>
                <w:r>
                  <w:rPr>
                    <w:rFonts w:ascii="Arial" w:hAnsi="Arial" w:cs="Arial"/>
                    <w:sz w:val="18"/>
                    <w:color w:val="000000"/>
                  </w:rPr>
                  <w:t xml:space="preserve">Extension results not reported in supplied CSR. (CSR pp.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2 treatment 2 sample size"/>
                <w:id w:val="61945163"/>
              </w:sdtPr>
              <w:sdtContent>
                <w:r>
                  <w:rPr>
                    <w:rFonts w:ascii="Arial" w:hAnsi="Arial" w:cs="Arial"/>
                    <w:sz w:val="18"/>
                    <w:color w:val="000000"/>
                  </w:rPr>
                  <w:t xml:space="preserve">Extension results not reported in supplied CSR. (CSR pp. 32, 35-36.)</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1"/>
              <w:id w:val="793329436"/>
            </w:sdtPr>
            <w:sdtContent>
              <w:p>
                <w:pPr>
                  <w:pStyle w:val="BodyCopyWorking"/>
                </w:pPr>
                <w:r>
                  <w:rPr>
                    <w:rFonts w:ascii="Arial" w:hAnsi="Arial" w:cs="Arial"/>
                    <w:sz w:val="18"/>
                    <w:color w:val="000000"/>
                  </w:rPr>
                  <w:t xml:space="preserve">Extension results not reported in supplied CSR. (CSR pp.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2"/>
              <w:id w:val="207945278"/>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1"/>
              <w:id w:val="1797440090"/>
            </w:sdtPr>
            <w:sdtContent>
              <w:p>
                <w:pPr>
                  <w:pStyle w:val="BodyCopyWorking"/>
                </w:pPr>
                <w:r>
                  <w:rPr>
                    <w:rFonts w:ascii="Arial" w:hAnsi="Arial" w:cs="Arial"/>
                    <w:sz w:val="18"/>
                    <w:color w:val="000000"/>
                  </w:rPr>
                  <w:t xml:space="preserve">Extension results not reported in supplied CSR. (CSR pp. 32, 35-36.)</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2"/>
              <w:id w:val="1318575265"/>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Long-term extension — subsequent treatment — therapy 1 name"/>
                <w:id w:val="1844656933"/>
              </w:sdtPr>
              <w:sdtContent>
                <w:r>
                  <w:rPr>
                    <w:rFonts w:ascii="Arial" w:hAnsi="Arial" w:cs="Arial"/>
                    <w:sz w:val="18"/>
                    <w:color w:val="000000"/>
                  </w:rPr>
                  <w:t xml:space="preserve">Extension results not reported in supplied CSR. (CSR pp. 32,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1"/>
              <w:id w:val="1314528757"/>
            </w:sdtPr>
            <w:sdtContent>
              <w:p>
                <w:pPr>
                  <w:pStyle w:val="BodyCopyWorking"/>
                </w:pPr>
                <w:r>
                  <w:rPr>
                    <w:rFonts w:ascii="Arial" w:hAnsi="Arial" w:cs="Arial"/>
                    <w:sz w:val="18"/>
                    <w:color w:val="000000"/>
                  </w:rPr>
                  <w:t xml:space="preserve">Extension results not reported in supplied CSR. (CSR pp.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2"/>
              <w:id w:val="775834446"/>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1"/>
              <w:id w:val="1763483474"/>
            </w:sdtPr>
            <w:sdtContent>
              <w:p>
                <w:pPr>
                  <w:pStyle w:val="BodyCopyWorking"/>
                </w:pPr>
                <w:r>
                  <w:rPr>
                    <w:rFonts w:ascii="Arial" w:hAnsi="Arial" w:cs="Arial"/>
                    <w:sz w:val="18"/>
                    <w:color w:val="000000"/>
                  </w:rPr>
                  <w:t xml:space="preserve">Extension results not reported in supplied CSR. (CSR pp. 32, 35-36.)</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2"/>
              <w:id w:val="380278867"/>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Long-term extension — subsequent treatment — therapy 2 name"/>
                <w:id w:val="2032544011"/>
              </w:sdtPr>
              <w:sdtContent>
                <w:r>
                  <w:rPr>
                    <w:rFonts w:ascii="Arial" w:hAnsi="Arial" w:cs="Arial"/>
                    <w:sz w:val="18"/>
                    <w:color w:val="000000"/>
                  </w:rPr>
                  <w:t xml:space="preserve">Extension results not reported in supplied CSR. (CSR pp. 32,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1"/>
              <w:id w:val="1735372136"/>
            </w:sdtPr>
            <w:sdtContent>
              <w:p>
                <w:pPr>
                  <w:pStyle w:val="BodyCopyWorking"/>
                </w:pPr>
                <w:r>
                  <w:rPr>
                    <w:rFonts w:ascii="Arial" w:hAnsi="Arial" w:cs="Arial"/>
                    <w:sz w:val="18"/>
                    <w:color w:val="000000"/>
                  </w:rPr>
                  <w:t xml:space="preserve">Extension results not reported in supplied CSR. (CSR pp.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2"/>
              <w:id w:val="536485881"/>
            </w:sdtPr>
            <w:sdtContent>
              <w:p>
                <w:pPr>
                  <w:pStyle w:val="BodyCopyWorking"/>
                </w:pPr>
                <w:r>
                  <w:rPr>
                    <w:rFonts w:ascii="Arial" w:hAnsi="Arial" w:cs="Arial"/>
                    <w:sz w:val="18"/>
                    <w:color w:val="000000"/>
                  </w:rPr>
                  <w:t xml:space="preserve">Extension results not reported in supplied CSR. (CSR pp.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1"/>
              <w:id w:val="2122123324"/>
            </w:sdtPr>
            <w:sdtContent>
              <w:p>
                <w:pPr>
                  <w:pStyle w:val="BodyCopyWorking"/>
                </w:pPr>
                <w:r>
                  <w:rPr>
                    <w:rFonts w:ascii="Arial" w:hAnsi="Arial" w:cs="Arial"/>
                    <w:sz w:val="18"/>
                    <w:color w:val="000000"/>
                  </w:rPr>
                  <w:t xml:space="preserve">Extension results not reported in supplied CSR. (CSR pp. 32, 35-36.)</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2"/>
              <w:id w:val="183102924"/>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90" w:hRule="atLeast"/>
          <w:cantSpli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673"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2"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6"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19" w:name="_Toc93475845"/>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20" w:name="_Toc216182112"/>
      <w:bookmarkStart w:id="121" w:name="__RefHeading___Toc6218_3477833118"/>
      <w:bookmarkEnd w:id="121"/>
      <w:r>
        <w:rPr/>
        <w:t>Results</w:t>
      </w:r>
      <w:bookmarkEnd w:id="120"/>
      <w:bookmarkEnd w:id="119"/>
    </w:p>
    <w:p>
      <w:pPr>
        <w:pStyle w:val="Subheadinglvl1Working"/>
        <w:rPr/>
      </w:pPr>
      <w:r>
        <w:rPr/>
        <w:t>Efficacy</w:t>
      </w:r>
    </w:p>
    <w:p>
      <w:pPr>
        <w:pStyle w:val="Normal"/>
        <w:spacing w:lineRule="auto" w:line="276"/>
        <w:rPr/>
      </w:pPr>
      <w:sdt>
        <w:sdtPr>
          <w:alias w:val="Long-term extension — efficacy outcomes overview"/>
          <w:id w:val="2066680307"/>
        </w:sdtPr>
        <w:sdtContent>
          <w:r>
            <w:rPr>
              <w:rFonts w:ascii="Arial" w:hAnsi="Arial" w:cs="Arial"/>
              <w:sz w:val="20"/>
              <w:color w:val="000000"/>
            </w:rPr>
            <w:t xml:space="preserve">Extension results not reported in supplied CSR. (CSR pp. 32, 35-36.)</w:t>
          </w:r>
        </w:sdtContent>
      </w:sdt>
    </w:p>
    <w:p>
      <w:pPr>
        <w:pStyle w:val="Subheadinglvl2Working"/>
        <w:rPr/>
      </w:pPr>
      <w:sdt>
        <w:sdtPr>
          <w:alias w:val="Long-term extension — efficacy endpoint 1 heading"/>
          <w:id w:val="1901184427"/>
        </w:sdtPr>
        <w:sdtContent>
          <w:r>
            <w:rPr>
              <w:rFonts w:ascii="Arial" w:hAnsi="Arial" w:cs="Arial"/>
              <w:sz w:val="20"/>
              <w:color w:val="000000"/>
            </w:rPr>
            <w:t xml:space="preserve">Extension results not reported in supplied CSR. (CSR pp.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rPr/>
      </w:pPr>
      <w:sdt>
        <w:sdtPr>
          <w:alias w:val="Long-term extension — efficacy endpoint 2 heading"/>
          <w:id w:val="1736256802"/>
        </w:sdtPr>
        <w:sdtContent>
          <w:r>
            <w:rPr>
              <w:rFonts w:ascii="Arial" w:hAnsi="Arial" w:cs="Arial"/>
              <w:sz w:val="20"/>
              <w:color w:val="000000"/>
            </w:rPr>
            <w:t xml:space="preserve">Extension results not reported in supplied CSR. (CSR pp.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rPr/>
      </w:pPr>
      <w:sdt>
        <w:sdtPr>
          <w:alias w:val="Long-term extension — efficacy endpoint 3 heading"/>
          <w:id w:val="448560176"/>
        </w:sdtPr>
        <w:sdtContent>
          <w:r>
            <w:rPr>
              <w:rFonts w:ascii="Arial" w:hAnsi="Arial" w:cs="Arial"/>
              <w:sz w:val="20"/>
              <w:color w:val="000000"/>
            </w:rPr>
            <w:t xml:space="preserve">Extension results not reported in supplied CSR. (CSR pp.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sz w:val="20"/>
          <w:szCs w:val="20"/>
        </w:rPr>
      </w:pPr>
      <w:r>
        <w:rPr>
          <w:sz w:val="20"/>
          <w:szCs w:val="20"/>
        </w:rPr>
        <w:t>Harms</w:t>
      </w:r>
    </w:p>
    <w:p>
      <w:pPr>
        <w:pStyle w:val="Normal"/>
        <w:spacing w:lineRule="auto" w:line="276"/>
        <w:rPr/>
      </w:pPr>
      <w:sdt>
        <w:sdtPr>
          <w:alias w:val="Long-term : Harms"/>
          <w:id w:val="400911679"/>
        </w:sdtPr>
        <w:sdtContent>
          <w:r>
            <w:rPr>
              <w:rFonts w:ascii="Arial" w:hAnsi="Arial" w:cs="Arial"/>
              <w:sz w:val="20"/>
              <w:color w:val="000000"/>
            </w:rPr>
            <w:t xml:space="preserve">Extension results not reported in supplied CSR. (CSR pp. 32, 35-36.)</w:t>
          </w:r>
        </w:sdtContent>
      </w:sdt>
    </w:p>
    <w:p>
      <w:pPr>
        <w:pStyle w:val="TableTitleCADTH"/>
        <w:rPr>
          <w:color w:val="auto"/>
          <w:sz w:val="20"/>
          <w:szCs w:val="20"/>
        </w:rPr>
      </w:pPr>
      <w:r>
        <w:rPr>
          <w:color w:val="auto"/>
          <w:sz w:val="20"/>
          <w:szCs w:val="20"/>
        </w:rPr>
        <w:t xml:space="preserve">Table </w:t>
      </w:r>
      <w:sdt>
        <w:sdtPr>
          <w:alias w:val="Long-term extension — harms table number"/>
          <w:id w:val="2127029719"/>
        </w:sdtPr>
        <w:sdtContent>
          <w:r>
            <w:rPr>
              <w:rFonts w:ascii="Arial" w:hAnsi="Arial" w:cs="Arial"/>
              <w:sz w:val="20"/>
              <w:color w:val="000000"/>
            </w:rPr>
            <w:t xml:space="preserve">20</w:t>
          </w:r>
        </w:sdtContent>
      </w:sdt>
      <w:r>
        <w:rPr>
          <w:color w:val="auto"/>
          <w:sz w:val="20"/>
          <w:szCs w:val="20"/>
        </w:rPr>
        <w:t xml:space="preserve">: Summary of Harms </w:t>
      </w:r>
    </w:p>
    <w:tbl>
      <w:tblPr>
        <w:tblW w:w="33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4"/>
        <w:gridCol w:w="1939"/>
        <w:gridCol w:w="1937"/>
      </w:tblGrid>
      <w:tr>
        <w:trPr>
          <w:cantSplit/>
        </w:trPr>
        <w:tc>
          <w:tcPr>
            <w:tcW w:w="318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Adverse events</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Long-term extension — harms — treatment 1"/>
                <w:id w:val="1689685049"/>
              </w:sdtPr>
              <w:sdtContent>
                <w:r>
                  <w:rPr>
                    <w:rFonts w:ascii="Arial" w:hAnsi="Arial" w:cs="Arial"/>
                    <w:sz w:val="18"/>
                    <w:color w:val="000000"/>
                  </w:rPr>
                  <w:t xml:space="preserve">Extension results not reported in supplied CSR. (CSR pp. 32, 35-36.)</w:t>
                </w:r>
              </w:sdtContent>
            </w:sdt>
          </w:p>
          <w:p>
            <w:pPr>
              <w:pStyle w:val="TableHeadingCADTH"/>
              <w:spacing w:before="20" w:after="20"/>
              <w:jc w:val="center"/>
              <w:rPr>
                <w:color w:themeColor="text1" w:themeTint="f2" w:val="0D0D0D"/>
                <w:szCs w:val="18"/>
              </w:rPr>
            </w:pPr>
            <w:r>
              <w:rPr>
                <w:color w:themeColor="text1" w:themeTint="f2" w:val="0D0D0D"/>
                <w:szCs w:val="18"/>
              </w:rPr>
              <w:t xml:space="preserve">(N = </w:t>
            </w:r>
            <w:sdt>
              <w:sdtPr>
                <w:alias w:val="Long-term extension — harms — treatment 1 sample size"/>
                <w:id w:val="704163184"/>
              </w:sdtPr>
              <w:sdtContent>
                <w:r>
                  <w:rPr>
                    <w:rFonts w:ascii="Arial" w:hAnsi="Arial" w:cs="Arial"/>
                    <w:sz w:val="18"/>
                    <w:color w:val="000000"/>
                  </w:rPr>
                  <w:t xml:space="preserve">Extension results not reported in supplied CSR. (CSR pp. 32, 35-36.)</w:t>
                </w:r>
              </w:sdtContent>
            </w:sdt>
            <w:r>
              <w:rPr>
                <w:color w:themeColor="text1" w:themeTint="f2" w:val="0D0D0D"/>
                <w:szCs w:val="18"/>
              </w:rPr>
              <w:t>)</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Long-term extension — harms — treatment 2"/>
                <w:id w:val="433728940"/>
              </w:sdtPr>
              <w:sdtContent>
                <w:r>
                  <w:rPr>
                    <w:rFonts w:ascii="Arial" w:hAnsi="Arial" w:cs="Arial"/>
                    <w:sz w:val="18"/>
                    <w:color w:val="000000"/>
                  </w:rPr>
                  <w:t xml:space="preserve">Extension results not reported in supplied CSR. (CSR pp. 32, 35-36.)</w:t>
                </w:r>
              </w:sdtContent>
            </w:sdt>
          </w:p>
          <w:p>
            <w:pPr>
              <w:pStyle w:val="TableHeadingCADTH"/>
              <w:spacing w:before="20" w:after="20"/>
              <w:jc w:val="center"/>
              <w:rPr>
                <w:color w:themeColor="text1" w:themeTint="f2" w:val="0D0D0D"/>
                <w:szCs w:val="18"/>
              </w:rPr>
            </w:pPr>
            <w:r>
              <w:rPr>
                <w:color w:themeColor="text1" w:themeTint="f2" w:val="0D0D0D"/>
                <w:szCs w:val="18"/>
              </w:rPr>
              <w:t xml:space="preserve">(N = </w:t>
            </w:r>
            <w:sdt>
              <w:sdtPr>
                <w:alias w:val="Long-term extension — harms — treatment 2 sample size"/>
                <w:id w:val="1098717979"/>
              </w:sdtPr>
              <w:sdtContent>
                <w:r>
                  <w:rPr>
                    <w:rFonts w:ascii="Arial" w:hAnsi="Arial" w:cs="Arial"/>
                    <w:sz w:val="18"/>
                    <w:color w:val="000000"/>
                  </w:rPr>
                  <w:t xml:space="preserve">Extension results not reported in supplied CSR. (CSR pp. 32, 35-36.)</w:t>
                </w:r>
              </w:sdtContent>
            </w:sdt>
            <w:r>
              <w:rPr>
                <w:color w:themeColor="text1" w:themeTint="f2" w:val="0D0D0D"/>
                <w:szCs w:val="18"/>
              </w:rPr>
              <w:t>)</w:t>
            </w:r>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Most common adverse events, n (%) </w:t>
            </w:r>
          </w:p>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1"/>
              <w:id w:val="1482161231"/>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2"/>
              <w:id w:val="1161473698"/>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Long-term extension — harms — adverse event 1 name"/>
                <w:id w:val="583271820"/>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1"/>
              <w:id w:val="85530822"/>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2"/>
              <w:id w:val="1004057761"/>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Long-term extension — harms — adverse event 2 name"/>
                <w:id w:val="191311252"/>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1"/>
              <w:id w:val="1723887216"/>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2"/>
              <w:id w:val="1923920028"/>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p>
            <w:pPr>
              <w:keepNext w:val="0"/>
            </w:pPr>
            <w:sdt>
              <w:sdtPr>
                <w:alias w:val="Completed response — Not reported in the supplied CSR; extension results are to be rep"/>
                <w:id w:val="1900000056"/>
              </w:sdtPr>
              <w:sdtContent>
                <w:r>
                  <w:rPr>
                    <w:rFonts w:ascii="Arial" w:hAnsi="Arial"/>
                    <w:color w:val="000000"/>
                    <w:sz w:val="18"/>
                  </w:rPr>
                  <w:t>Not reported in the supplied CSR; extension results are to be reported separately. (CSR pp. 32, 35-36.)</w:t>
                </w:r>
              </w:sdtContent>
            </w:sdt>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Serious adverse events, n (%)</w:t>
            </w:r>
          </w:p>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1"/>
              <w:id w:val="776854055"/>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2"/>
              <w:id w:val="303723184"/>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AE 1 name"/>
                <w:id w:val="1288993385"/>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1"/>
              <w:id w:val="1884585250"/>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2"/>
              <w:id w:val="323727383"/>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AE 2 name"/>
                <w:id w:val="959558203"/>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1"/>
              <w:id w:val="289648320"/>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2"/>
              <w:id w:val="687739638"/>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Patients who stopped treatment due to adverse events, n (%)</w:t>
            </w:r>
          </w:p>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1"/>
              <w:id w:val="451052731"/>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2"/>
              <w:id w:val="95369199"/>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topped-treatment adverse event 1 name"/>
                <w:id w:val="461389432"/>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1"/>
              <w:id w:val="508443590"/>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2"/>
              <w:id w:val="1504985604"/>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topped-treatment adverse event 2 name"/>
                <w:id w:val="1190689201"/>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1"/>
              <w:id w:val="563934557"/>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2"/>
              <w:id w:val="889519286"/>
            </w:sdtPr>
            <w:sdtContent>
              <w:p>
                <w:pPr>
                  <w:pStyle w:val="BodyCopyWorking"/>
                </w:pPr>
                <w:r>
                  <w:rPr>
                    <w:rFonts w:ascii="Arial" w:hAnsi="Arial" w:cs="Arial"/>
                    <w:sz w:val="18"/>
                    <w:color w:val="000000"/>
                  </w:rPr>
                  <w:t xml:space="preserve">Extension results not reported in supplied CSR. (CSR pp. 32, 35-36.)</w:t>
                </w:r>
              </w:p>
            </w:sdtContent>
          </w:sdt>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Deaths, n (%)</w:t>
            </w:r>
          </w:p>
        </w:tc>
      </w:tr>
      <w:tr>
        <w:trPr>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1"/>
              <w:id w:val="1908809376"/>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2"/>
              <w:id w:val="1270362143"/>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22" w:hRule="atLeast"/>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Long-term extension — harms — causes of death description"/>
                <w:id w:val="1953910705"/>
              </w:sdtPr>
              <w:sdtContent>
                <w:r>
                  <w:rPr>
                    <w:rFonts w:ascii="Arial" w:hAnsi="Arial" w:cs="Arial"/>
                    <w:sz w:val="18"/>
                    <w:color w:val="000000"/>
                  </w:rPr>
                  <w:t xml:space="preserve">Extension results not reported in supplied CSR. (CSR pp. 32,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1"/>
              <w:id w:val="557704723"/>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2"/>
              <w:id w:val="19432884"/>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22" w:hRule="atLeast"/>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cantSplit/>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Adverse events of special interest, n (%) </w:t>
            </w:r>
          </w:p>
        </w:tc>
      </w:tr>
      <w:tr>
        <w:trPr>
          <w:trHeight w:val="22" w:hRule="atLeast"/>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Long-term extension — harms — special-interest event name"/>
                <w:id w:val="1384584813"/>
              </w:sdtPr>
              <w:sdtContent>
                <w:r>
                  <w:rPr>
                    <w:rFonts w:ascii="Arial" w:hAnsi="Arial" w:cs="Arial"/>
                    <w:sz w:val="18"/>
                    <w:color w:val="000000"/>
                  </w:rPr>
                  <w:t xml:space="preserve">Extension results not reported in supplied CSR. (CSR pp. 32, 35-36.)</w:t>
                </w:r>
              </w:sdtContent>
            </w:sdt>
            <w:r>
              <w:rPr>
                <w:color w:val="C00000"/>
              </w:rPr>
              <w:t>, n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1"/>
              <w:id w:val="1577482172"/>
            </w:sdtPr>
            <w:sdtContent>
              <w:p>
                <w:pPr>
                  <w:pStyle w:val="BodyCopyWorking"/>
                </w:pPr>
                <w:r>
                  <w:rPr>
                    <w:rFonts w:ascii="Arial" w:hAnsi="Arial" w:cs="Arial"/>
                    <w:sz w:val="18"/>
                    <w:color w:val="000000"/>
                  </w:rPr>
                  <w:t xml:space="preserve">Extension results not reported in supplied CSR. (CSR pp. 32,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2"/>
              <w:id w:val="1862679142"/>
            </w:sdtPr>
            <w:sdtContent>
              <w:p>
                <w:pPr>
                  <w:pStyle w:val="BodyCopyWorking"/>
                </w:pPr>
                <w:r>
                  <w:rPr>
                    <w:rFonts w:ascii="Arial" w:hAnsi="Arial" w:cs="Arial"/>
                    <w:sz w:val="18"/>
                    <w:color w:val="000000"/>
                  </w:rPr>
                  <w:t xml:space="preserve">Extension results not reported in supplied CSR. (CSR pp. 32, 35-36.)</w:t>
                </w:r>
              </w:p>
            </w:sdtContent>
          </w:sdt>
        </w:tc>
      </w:tr>
      <w:tr>
        <w:trPr>
          <w:trHeight w:val="22" w:hRule="atLeast"/>
          <w:cantSpli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22" w:name="_Toc93475846"/>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23" w:name="_Toc216182113"/>
      <w:bookmarkStart w:id="124" w:name="__RefHeading___Toc6216_3477833118"/>
      <w:bookmarkEnd w:id="124"/>
      <w:r>
        <w:rPr/>
        <w:t>Sponsor Summary and Conclusion</w:t>
      </w:r>
      <w:bookmarkEnd w:id="123"/>
      <w:bookmarkEnd w:id="122"/>
    </w:p>
    <w:sdt>
      <w:sdtPr>
        <w:alias w:val="Long-term extension — sponsor summary and conclusion"/>
        <w:id w:val="425283575"/>
      </w:sdtPr>
      <w:sdtContent>
        <w:p>
          <w:pPr>
            <w:pStyle w:val="BodyCopyWorking"/>
          </w:pPr>
          <w:r>
            <w:rPr>
              <w:rFonts w:ascii="Arial" w:hAnsi="Arial" w:cs="Arial"/>
              <w:sz w:val="20"/>
              <w:color w:val="000000"/>
            </w:rPr>
            <w:t xml:space="preserve">Extension results not reported in supplied CSR. (CSR pp. 32, 35-36.)</w:t>
          </w:r>
        </w:p>
      </w:sdtContent>
    </w:sdt>
    <w:p>
      <w:pPr>
        <w:pStyle w:val="Normal"/>
        <w:spacing w:lineRule="auto" w:line="276"/>
        <w:rPr/>
      </w:pPr>
      <w:sdt>
        <w:sdtPr>
          <w:alias w:val="Sponsor summary and conclusion"/>
          <w:id w:val="2084997880"/>
        </w:sdtPr>
        <w:sdtContent>
          <w:r>
            <w:rPr>
              <w:rFonts w:ascii="Arial" w:hAnsi="Arial" w:cs="Arial"/>
              <w:sz w:val="20"/>
              <w:color w:val="000000"/>
            </w:rPr>
            <w:t xml:space="preserve">Extension results not reported in supplied CSR. (CSR pp. 32, 35-36.)</w:t>
          </w:r>
        </w:sdtContent>
      </w:sdt>
    </w:p>
    <w:p>
      <w:pPr>
        <w:pStyle w:val="Headinglvl1Working"/>
        <w:rPr/>
      </w:pPr>
      <w:bookmarkStart w:id="125" w:name="_Toc216182114"/>
      <w:bookmarkStart w:id="126" w:name="__RefHeading___Toc6214_3477833118"/>
      <w:bookmarkEnd w:id="126"/>
      <w:r>
        <w:rPr/>
        <w:t>Sponsor Identified Gaps in the Evidence</w:t>
      </w:r>
      <w:bookmarkEnd w:id="125"/>
    </w:p>
    <w:sdt>
      <w:sdtPr>
        <w:alias w:val="Long-term extension — sponsor identified gaps"/>
        <w:id w:val="167119208"/>
      </w:sdtPr>
      <w:sdtContent>
        <w:p>
          <w:pPr>
            <w:pStyle w:val="BodyCopyWorking"/>
          </w:pPr>
          <w:r>
            <w:rPr>
              <w:rFonts w:ascii="Arial" w:hAnsi="Arial" w:cs="Arial"/>
              <w:sz w:val="20"/>
              <w:color w:val="000000"/>
            </w:rPr>
            <w:t xml:space="preserve">Extension results not reported in supplied CSR. (CSR pp. 32, 35-36.)</w:t>
          </w:r>
        </w:p>
      </w:sdtContent>
    </w:sdt>
    <w:sdt>
      <w:sdtPr>
        <w:alias w:val="Gaps"/>
        <w:id w:val="1502989581"/>
      </w:sdtPr>
      <w:sdtContent>
        <w:p>
          <w:pPr>
            <w:pStyle w:val="BodyCopyWorking"/>
          </w:pPr>
          <w:r>
            <w:rPr>
              <w:rFonts w:ascii="Arial" w:hAnsi="Arial" w:cs="Arial"/>
              <w:sz w:val="20"/>
              <w:color w:val="000000"/>
            </w:rPr>
            <w:t xml:space="preserve">Extension results not reported in supplied CSR. (CSR pp. 32, 35-36.)</w:t>
          </w:r>
        </w:p>
      </w:sdtContent>
    </w:sdt>
    <w:p>
      <w:pPr>
        <w:pStyle w:val="Normal"/>
        <w:rPr>
          <w:lang w:val="en-US"/>
        </w:rPr>
      </w:pPr>
      <w:r>
        <w:rPr>
          <w:lang w:val="en-US"/>
        </w:rPr>
      </w:r>
      <w:r>
        <w:br w:type="page"/>
      </w:r>
    </w:p>
    <w:p>
      <w:pPr>
        <w:pStyle w:val="SectionHeadingWorking"/>
        <w:spacing w:before="0" w:after="120"/>
        <w:rPr/>
      </w:pPr>
      <w:bookmarkStart w:id="127" w:name="_Toc216182115"/>
      <w:bookmarkStart w:id="128" w:name="__RefHeading___Toc6182_3477833118"/>
      <w:bookmarkEnd w:id="128"/>
      <w:r>
        <w:rPr/>
        <w:t>Section 4. Indirect Evidence</w:t>
      </w:r>
      <w:bookmarkEnd w:id="127"/>
    </w:p>
    <w:p>
      <w:pPr>
        <w:pStyle w:val="Normal"/>
        <w:spacing w:lineRule="auto" w:line="276" w:before="0" w:after="60"/>
        <w:rPr>
          <w:rFonts w:ascii="Arial" w:hAnsi="Arial" w:cs="Arial"/>
          <w:color w:val="C00000"/>
          <w:sz w:val="20"/>
          <w:szCs w:val="20"/>
        </w:rPr>
      </w:pPr>
      <w:bookmarkStart w:id="129" w:name="_Toc93475839"/>
      <w:r>
        <w:rPr>
          <w:rFonts w:cs="Arial" w:ascii="Arial" w:hAnsi="Arial"/>
          <w:color w:val="C00000"/>
          <w:sz w:val="20"/>
          <w:szCs w:val="20"/>
        </w:rPr>
        <w:t>In this section of the template the sponsor must summarize all indirect comparisons that have been included in the application (i.e., to support comparative efficacy or safety and/or the assumptions in the pharmacoeconomic model).</w:t>
      </w:r>
    </w:p>
    <w:p>
      <w:pPr>
        <w:pStyle w:val="Normal"/>
        <w:spacing w:lineRule="auto" w:line="276" w:before="0" w:after="60"/>
        <w:rPr>
          <w:rFonts w:ascii="Arial" w:hAnsi="Arial" w:cs="Arial"/>
          <w:color w:val="C00000"/>
          <w:sz w:val="20"/>
          <w:szCs w:val="20"/>
        </w:rPr>
      </w:pPr>
      <w:r>
        <w:rPr>
          <w:rFonts w:cs="Arial" w:ascii="Arial" w:hAnsi="Arial"/>
          <w:color w:val="C00000"/>
          <w:sz w:val="20"/>
          <w:szCs w:val="20"/>
        </w:rPr>
        <w:t>If no indirect comparisons are included in the application, please provide the following:</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Rationale for why no indirect comparisons have been included in the application.</w:t>
      </w:r>
    </w:p>
    <w:p>
      <w:pPr>
        <w:pStyle w:val="BodyCopyWorking"/>
        <w:keepNext w:val="0"/>
      </w:pPr>
      <w:sdt>
        <w:sdtPr>
          <w:alias w:val="Completed response — Not reported in the supplied CSR: no indirect comparison is prese"/>
          <w:id w:val="1900000057"/>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 xml:space="preserve">If a feasibility assessment was performed and the sponsor concluded that an indirect comparison was not possible based on the available information, please clearly describe the assessment and the barriers that precluded the indirect comparison.  </w:t>
      </w:r>
    </w:p>
    <w:p>
      <w:pPr>
        <w:pStyle w:val="BodyCopyWorking"/>
        <w:keepNext w:val="0"/>
      </w:pPr>
      <w:sdt>
        <w:sdtPr>
          <w:alias w:val="Completed response — Not reported in the supplied CSR: no indirect comparison is prese"/>
          <w:id w:val="1900000058"/>
        </w:sdtPr>
        <w:sdtContent>
          <w:r>
            <w:rPr>
              <w:rFonts w:ascii="Arial" w:hAnsi="Arial"/>
              <w:color w:val="000000"/>
              <w:sz w:val="20"/>
            </w:rPr>
            <w:t>Not reported in the supplied CSR: no indirect comparison is presented. (CSR pp. 32-37: direct placebo-controlled trial.)</w:t>
          </w:r>
        </w:sdtContent>
      </w:sdt>
    </w:p>
    <w:p>
      <w:pPr>
        <w:pStyle w:val="Headinglvl1Working"/>
        <w:rPr/>
      </w:pPr>
      <w:bookmarkStart w:id="130" w:name="_Toc216182116"/>
      <w:bookmarkStart w:id="131" w:name="__RefHeading___Toc6212_3477833118"/>
      <w:bookmarkEnd w:id="131"/>
      <w:r>
        <w:rPr/>
        <w:t>Description of Indirect Comparison(s)</w:t>
      </w:r>
      <w:bookmarkEnd w:id="130"/>
      <w:bookmarkEnd w:id="104"/>
      <w:bookmarkEnd w:id="129"/>
    </w:p>
    <w:p>
      <w:pPr>
        <w:pStyle w:val="Normal"/>
        <w:rPr>
          <w:rFonts w:ascii="Arial" w:hAnsi="Arial" w:cs="Arial"/>
          <w:color w:val="C00000"/>
          <w:sz w:val="20"/>
          <w:szCs w:val="20"/>
        </w:rPr>
      </w:pPr>
      <w:r>
        <w:rPr>
          <w:rFonts w:cs="Arial" w:ascii="Arial" w:hAnsi="Arial"/>
          <w:color w:val="C00000"/>
          <w:sz w:val="20"/>
          <w:szCs w:val="20"/>
        </w:rPr>
        <w:t xml:space="preserve">In this section the sponsor should summarize the methods and results of all indirect comparisons included in the application. </w:t>
      </w:r>
    </w:p>
    <w:p>
      <w:pPr>
        <w:pStyle w:val="Subheadinglvl1Working"/>
        <w:rPr/>
      </w:pPr>
      <w:r>
        <w:rPr/>
        <w:t>Objectives</w:t>
      </w:r>
    </w:p>
    <w:p>
      <w:pPr>
        <w:pStyle w:val="Normal"/>
        <w:rPr/>
      </w:pPr>
      <w:sdt>
        <w:sdtPr>
          <w:alias w:val="ITC - Objectives"/>
          <w:id w:val="764049985"/>
        </w:sdtPr>
        <w:sdtContent>
          <w:r>
            <w:rPr>
              <w:rFonts w:ascii="Arial" w:hAnsi="Arial" w:cs="Arial"/>
              <w:sz w:val="20"/>
              <w:color w:val="000000"/>
            </w:rPr>
            <w:t xml:space="preserve">Indirect comparison not reported in supplied CSR. (CSR pp. 32-37.)</w:t>
          </w:r>
        </w:sdtContent>
      </w:sdt>
    </w:p>
    <w:p>
      <w:pPr>
        <w:pStyle w:val="Subheadinglvl1Working"/>
        <w:rPr/>
      </w:pPr>
      <w:r>
        <w:rPr/>
        <w:t>Study Selection Methods</w:t>
      </w:r>
    </w:p>
    <w:sdt>
      <w:sdtPr>
        <w:alias w:val="Study selection methods"/>
        <w:id w:val="656653656"/>
      </w:sdtPr>
      <w:sdtContent>
        <w:p>
          <w:pPr>
            <w:pStyle w:val="BodyCopyWorking"/>
          </w:pPr>
          <w:r>
            <w:rPr>
              <w:rFonts w:ascii="Arial" w:hAnsi="Arial" w:cs="Arial"/>
              <w:sz w:val="20"/>
              <w:color w:val="000000"/>
            </w:rPr>
            <w:t xml:space="preserve">Indirect comparison not reported in supplied CSR. (CSR pp. 32-37.)</w:t>
          </w:r>
        </w:p>
      </w:sdtContent>
    </w:sdt>
    <w:p>
      <w:pPr>
        <w:pStyle w:val="TableTitleCADTH"/>
        <w:rPr>
          <w:color w:val="auto"/>
          <w:sz w:val="20"/>
          <w:szCs w:val="20"/>
        </w:rPr>
      </w:pPr>
      <w:bookmarkStart w:id="132" w:name="_Toc13042131"/>
      <w:bookmarkStart w:id="133" w:name="_Toc93475819"/>
      <w:r>
        <w:rPr>
          <w:color w:val="auto"/>
          <w:sz w:val="20"/>
          <w:szCs w:val="20"/>
        </w:rPr>
      </w:r>
      <w:bookmarkEnd w:id="132"/>
      <w:bookmarkEnd w:id="133"/>
      <w:r>
        <w:rPr>
          <w:color w:val="auto"/>
          <w:sz w:val="20"/>
          <w:szCs w:val="20"/>
        </w:rPr>
      </w:r>
      <w:r>
        <w:t xml:space="preserve">Table 21: Study Selection Criteria and Methods for Indirect Comparisons </w:t>
      </w:r>
    </w:p>
    <w:tbl>
      <w:tblPr>
        <w:tblW w:w="475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2450"/>
        <w:gridCol w:w="7561"/>
      </w:tblGrid>
      <w:tr>
        <w:trPr>
          <w:tblHeader/>
          <w:trHeight w:val="20" w:hRule="atLeast"/>
          <w:cantSplit/>
        </w:trPr>
        <w:tc>
          <w:tcPr>
            <w:tcW w:w="244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Characteristics</w:t>
            </w:r>
          </w:p>
        </w:tc>
        <w:tc>
          <w:tcPr>
            <w:tcW w:w="756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 xml:space="preserve">Indirect Comparison </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Population</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population"/>
                <w:id w:val="1220217955"/>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state the population(s) of interest for the indirect comparison</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Intervention</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intervention"/>
                <w:id w:val="193183658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List intervention including dosing information</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Comparator</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comparators"/>
                <w:id w:val="1527988822"/>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List comparators including dosing information</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outcomes"/>
                <w:id w:val="37224882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 xml:space="preserve">List outcomes including time points </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study designs"/>
                <w:id w:val="1649929290"/>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describe the study designs included in the indirect comparison</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Publication characteristics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publication characteristics"/>
                <w:id w:val="2005341435"/>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Specify inclusion of published and/or unpublished studies</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Exclusion criteria</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exclusion criteria"/>
                <w:id w:val="1592170354"/>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 xml:space="preserve">Briefly describe the exclusion criteria used for selecting studies </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Databases searched</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databases searched"/>
                <w:id w:val="865598486"/>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list databases included in the literature search</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Selection process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selection process"/>
                <w:id w:val="988005254"/>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describe the review methods (e.g., articles screened independently by 2 researchers)</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Data extraction process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data extraction process"/>
                <w:id w:val="81561364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describe the review methods</w:t>
            </w:r>
          </w:p>
        </w:tc>
      </w:tr>
      <w:tr>
        <w:trPr>
          <w:trHeight w:val="20" w:hRule="atLeast"/>
          <w:cantSpli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Quality assessment</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quality assessment"/>
                <w:id w:val="1404626440"/>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Briefly describe the methods used to assess the quality of studies (e.g., appraisal tools)</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Bulletedlistlvl1Working"/>
        <w:numPr>
          <w:ilvl w:val="0"/>
          <w:numId w:val="0"/>
        </w:numPr>
        <w:ind w:hanging="144" w:start="288"/>
        <w:rPr>
          <w:color w:val="C00000"/>
        </w:rPr>
      </w:pPr>
      <w:r>
        <w:rPr>
          <w:color w:val="C00000"/>
        </w:rPr>
      </w:r>
    </w:p>
    <w:p>
      <w:pPr>
        <w:pStyle w:val="Subheadinglvl1Working"/>
        <w:rPr/>
      </w:pPr>
      <w:r>
        <w:rPr/>
        <w:t>Indirect comparison analysis methods</w:t>
      </w:r>
    </w:p>
    <w:p>
      <w:pPr>
        <w:pStyle w:val="BodyCopyWorking"/>
        <w:keepNext w:val="0"/>
      </w:pPr>
      <w:sdt>
        <w:sdtPr>
          <w:alias w:val="Completed response — Not reported in the supplied CSR: no indirect comparison is prese"/>
          <w:id w:val="1900000059"/>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the statistical model and the justification in the selection of the methods. </w:t>
      </w:r>
    </w:p>
    <w:p>
      <w:pPr>
        <w:pStyle w:val="BodyCopyWorking"/>
        <w:keepNext w:val="0"/>
      </w:pPr>
      <w:sdt>
        <w:sdtPr>
          <w:alias w:val="Completed response — Not reported in the supplied CSR: no indirect comparison is prese"/>
          <w:id w:val="1900000060"/>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the feasibility assessment and how well the underlying assumptions of the methods were supported.</w:t>
      </w:r>
    </w:p>
    <w:p>
      <w:pPr>
        <w:pStyle w:val="BodyCopyWorking"/>
        <w:keepNext w:val="0"/>
      </w:pPr>
      <w:sdt>
        <w:sdtPr>
          <w:alias w:val="Completed response — Not reported in the supplied CSR: no indirect comparison is prese"/>
          <w:id w:val="1900000061"/>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how model fit was assessed. If multiple models were run, describe how the model selected as the primary analysis was chosen. If only 1 model was used, please provide the reason(s).</w:t>
      </w:r>
    </w:p>
    <w:p>
      <w:pPr>
        <w:pStyle w:val="BodyCopyWorking"/>
        <w:keepNext w:val="0"/>
      </w:pPr>
      <w:sdt>
        <w:sdtPr>
          <w:alias w:val="Completed response — Not reported in the supplied CSR: no indirect comparison is prese"/>
          <w:id w:val="1900000062"/>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Please note the following for Bayesian models: </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prior distributions for modeling parameters. </w:t>
      </w:r>
    </w:p>
    <w:p>
      <w:pPr>
        <w:pStyle w:val="BodyCopyWorking"/>
        <w:keepNext w:val="0"/>
      </w:pPr>
      <w:sdt>
        <w:sdtPr>
          <w:alias w:val="Completed response — Not reported in the supplied CSR: no indirect comparison is prese"/>
          <w:id w:val="1900000063"/>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justification for use of informative priors, and whether sensitivity analyses were done to assess the impact of the priors selected. </w:t>
      </w:r>
    </w:p>
    <w:p>
      <w:pPr>
        <w:pStyle w:val="BodyCopyWorking"/>
        <w:keepNext w:val="0"/>
      </w:pPr>
      <w:sdt>
        <w:sdtPr>
          <w:alias w:val="Completed response — Not reported in the supplied CSR: no indirect comparison is prese"/>
          <w:id w:val="1900000064"/>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Convergence diagnostics, burn-in period, number of iterations and number of chains should also be described.</w:t>
      </w:r>
    </w:p>
    <w:p>
      <w:pPr>
        <w:pStyle w:val="BodyCopyWorking"/>
        <w:keepNext w:val="0"/>
      </w:pPr>
      <w:sdt>
        <w:sdtPr>
          <w:alias w:val="Completed response — Not reported in the supplied CSR: no indirect comparison is prese"/>
          <w:id w:val="1900000065"/>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Matching-adjusting indirect comparison (MAIC): </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Describe the justification conducting a MAIC and for the comparator chosen.</w:t>
      </w:r>
    </w:p>
    <w:p>
      <w:pPr>
        <w:pStyle w:val="BodyCopyWorking"/>
        <w:keepNext w:val="0"/>
      </w:pPr>
      <w:sdt>
        <w:sdtPr>
          <w:alias w:val="Completed response — Not reported in the supplied CSR: no indirect comparison is prese"/>
          <w:id w:val="1900000066"/>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Specify whether an anchored or unanchored MAIC was conducted</w:t>
      </w:r>
    </w:p>
    <w:p>
      <w:pPr>
        <w:pStyle w:val="BodyCopyWorking"/>
        <w:keepNext w:val="0"/>
      </w:pPr>
      <w:sdt>
        <w:sdtPr>
          <w:alias w:val="Completed response — Not reported in the supplied CSR: no indirect comparison is prese"/>
          <w:id w:val="1900000067"/>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Describe sources of heterogeneity that were identified between trials in the comparison. Specify whether any methods were used to account for heterogeneity prior to the weighting process including whether any patients were excluded from the trial.</w:t>
      </w:r>
    </w:p>
    <w:p>
      <w:pPr>
        <w:pStyle w:val="BodyCopyWorking"/>
        <w:keepNext w:val="0"/>
      </w:pPr>
      <w:sdt>
        <w:sdtPr>
          <w:alias w:val="Completed response — Not reported in the supplied CSR: no indirect comparison is prese"/>
          <w:id w:val="1900000068"/>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Describe any processes used to identify baseline characteristics that are potential effect modifiers and, for unanchored comparisons, prognostic factors.</w:t>
      </w:r>
    </w:p>
    <w:p>
      <w:pPr>
        <w:pStyle w:val="BodyCopyWorking"/>
        <w:keepNext w:val="0"/>
      </w:pPr>
      <w:sdt>
        <w:sdtPr>
          <w:alias w:val="Completed response — Not reported in the supplied CSR: no indirect comparison is prese"/>
          <w:id w:val="1900000069"/>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Describe what characteristics were identified in the variable selection process, and which of these variables were ultimately adjusted for in the weighting process.  Specify the justification for excluding any variable identified in the variable selection process.</w:t>
      </w:r>
    </w:p>
    <w:p>
      <w:pPr>
        <w:pStyle w:val="BodyCopyWorking"/>
        <w:keepNext w:val="0"/>
      </w:pPr>
      <w:sdt>
        <w:sdtPr>
          <w:alias w:val="Completed response — Not reported in the supplied CSR: no indirect comparison is prese"/>
          <w:id w:val="1900000070"/>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the method used to calculate the weight of individual patient data. </w:t>
      </w:r>
    </w:p>
    <w:p>
      <w:pPr>
        <w:pStyle w:val="BodyCopyWorking"/>
        <w:keepNext w:val="0"/>
      </w:pPr>
      <w:sdt>
        <w:sdtPr>
          <w:alias w:val="Completed response — Not reported in the supplied CSR: no indirect comparison is prese"/>
          <w:id w:val="1900000071"/>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Describe the approach used to estimate the parameters of the model.</w:t>
      </w:r>
    </w:p>
    <w:p>
      <w:pPr>
        <w:pStyle w:val="BodyCopyWorking"/>
        <w:keepNext w:val="0"/>
      </w:pPr>
      <w:sdt>
        <w:sdtPr>
          <w:alias w:val="Completed response — Not reported in the supplied CSR: no indirect comparison is prese"/>
          <w:id w:val="1900000072"/>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 xml:space="preserve">Describe if effective sample size measures and any other weight assessments were reported. </w:t>
      </w:r>
    </w:p>
    <w:p>
      <w:pPr>
        <w:pStyle w:val="BodyCopyWorking"/>
        <w:keepNext w:val="0"/>
      </w:pPr>
      <w:sdt>
        <w:sdtPr>
          <w:alias w:val="Completed response — Not reported in the supplied CSR: no indirect comparison is prese"/>
          <w:id w:val="1900000073"/>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how homogeneity was assessed. Please ensure to address clinical, methodological, and statistical heterogeneity.</w:t>
      </w:r>
    </w:p>
    <w:p>
      <w:pPr>
        <w:pStyle w:val="BodyCopyWorking"/>
        <w:keepNext w:val="0"/>
      </w:pPr>
      <w:sdt>
        <w:sdtPr>
          <w:alias w:val="Completed response — Not reported in the supplied CSR: no indirect comparison is prese"/>
          <w:id w:val="1900000074"/>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Discuss any steps taken to address potential sources of heterogeneity (e.g., excluding studies, doses, or timepoints from the analysis) or meta-regression analyses. </w:t>
      </w:r>
    </w:p>
    <w:p>
      <w:pPr>
        <w:pStyle w:val="BodyCopyWorking"/>
        <w:keepNext w:val="0"/>
      </w:pPr>
      <w:sdt>
        <w:sdtPr>
          <w:alias w:val="Completed response — Not reported in the supplied CSR: no indirect comparison is prese"/>
          <w:id w:val="1900000075"/>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Provide rationale for sensitivity analysis with description of methods used. </w:t>
      </w:r>
    </w:p>
    <w:p>
      <w:pPr>
        <w:pStyle w:val="BodyCopyWorking"/>
        <w:keepNext w:val="0"/>
      </w:pPr>
      <w:sdt>
        <w:sdtPr>
          <w:alias w:val="Completed response — Not reported in the supplied CSR: no indirect comparison is prese"/>
          <w:id w:val="1900000076"/>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Provide rationale for subgroup analysis with description of methods used. </w:t>
      </w:r>
    </w:p>
    <w:p>
      <w:pPr>
        <w:pStyle w:val="BodyCopyWorking"/>
        <w:keepNext w:val="0"/>
      </w:pPr>
      <w:sdt>
        <w:sdtPr>
          <w:alias w:val="Completed response — Not reported in the supplied CSR: no indirect comparison is prese"/>
          <w:id w:val="1900000077"/>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Describe how consistency between direct and indirect comparisons were evaluated if relevant (e.g., inconsistency modelling, simple direct versus indirect, or if it was not possible to assess consistency due to the lack of a closed loops)</w:t>
      </w:r>
    </w:p>
    <w:p>
      <w:pPr>
        <w:pStyle w:val="BodyCopyWorking"/>
        <w:keepNext w:val="0"/>
      </w:pPr>
      <w:sdt>
        <w:sdtPr>
          <w:alias w:val="Completed response — Not reported in the supplied CSR: no indirect comparison is prese"/>
          <w:id w:val="1900000078"/>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methods used to conduct standard pairwise meta-analysis (if conducted).</w:t>
      </w:r>
    </w:p>
    <w:p>
      <w:pPr>
        <w:pStyle w:val="BodyCopyWorking"/>
        <w:keepNext w:val="0"/>
      </w:pPr>
      <w:sdt>
        <w:sdtPr>
          <w:alias w:val="Completed response — Not reported in the supplied CSR: no indirect comparison is prese"/>
          <w:id w:val="1900000079"/>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For Network Meta-Analyses, describe how nodes in the network were constructed, how different doses, different routes of administration, different drugs within the same class, and comparators were handled (separate nodes or pooled analysis). </w:t>
      </w:r>
    </w:p>
    <w:p>
      <w:pPr>
        <w:pStyle w:val="BodyCopyWorking"/>
        <w:keepNext w:val="0"/>
      </w:pPr>
      <w:sdt>
        <w:sdtPr>
          <w:alias w:val="Completed response — Not reported in the supplied CSR: no indirect comparison is prese"/>
          <w:id w:val="1900000080"/>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(where appropriate) methods used for rescaling or conversion of results to a common scale, in cases where studies reported different scales or measures. Discuss appropriateness of any methods for reconstructing individual patient data from summary data. </w:t>
      </w:r>
    </w:p>
    <w:p>
      <w:pPr>
        <w:pStyle w:val="BodyCopyWorking"/>
        <w:keepNext w:val="0"/>
      </w:pPr>
      <w:sdt>
        <w:sdtPr>
          <w:alias w:val="Completed response — Not reported in the supplied CSR: no indirect comparison is prese"/>
          <w:id w:val="1900000081"/>
        </w:sdtPr>
        <w:sdtContent>
          <w:r>
            <w:rPr>
              <w:rFonts w:ascii="Arial" w:hAnsi="Arial"/>
              <w:color w:val="000000"/>
              <w:sz w:val="20"/>
            </w:rPr>
            <w:t>Not reported in the supplied CSR: no indirect comparison is presented. (CSR pp. 32-37: direct placebo-controlled trial.)</w:t>
          </w:r>
        </w:sdtContent>
      </w:sdt>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(where appropriate) which set of analysis results have been used where studies have conducted multiple analyses of a given endpoint (e.g., multiple approaches to dealing with missing data).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List which outcomes were analyzed and the rationale for excluding any of those that were pre-planned for analyses.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The table below provides an example of how the key data element may be described using a table format. The sample table is focussed on describing Bayesian NMA methods and likely needs modification for other approaches. Add or delete rows as appropriate. As methods may vary for different types of outcomes (continuous, dichotomous) or by network or population, additional columns may be added as needed. </w:t>
      </w:r>
    </w:p>
    <w:p>
      <w:pPr>
        <w:pStyle w:val="TableTitleCADTH"/>
        <w:spacing w:lineRule="auto" w:line="360" w:before="240" w:after="0"/>
        <w:rPr>
          <w:rFonts w:cs="Arial"/>
          <w:color w:val="auto"/>
          <w:sz w:val="20"/>
          <w:szCs w:val="20"/>
        </w:rPr>
      </w:pPr>
      <w:bookmarkStart w:id="134" w:name="_Toc93475820"/>
      <w:r>
        <w:rPr>
          <w:rFonts w:cs="Arial"/>
          <w:color w:val="auto"/>
          <w:sz w:val="20"/>
          <w:szCs w:val="20"/>
        </w:rPr>
      </w:r>
      <w:bookmarkEnd w:id="134"/>
      <w:r>
        <w:rPr>
          <w:rFonts w:cs="Arial"/>
          <w:color w:val="auto"/>
          <w:sz w:val="20"/>
          <w:szCs w:val="20"/>
        </w:rPr>
      </w:r>
      <w:r>
        <w:t xml:space="preserve">Table 22: Indirect Comparison Analysis Methods </w:t>
      </w:r>
    </w:p>
    <w:tbl>
      <w:tblPr>
        <w:tblW w:w="49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304"/>
        <w:gridCol w:w="7023"/>
      </w:tblGrid>
      <w:tr>
        <w:trPr>
          <w:tblHeader/>
          <w:cantSplit/>
        </w:trPr>
        <w:tc>
          <w:tcPr>
            <w:tcW w:w="3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Methods</w:t>
            </w:r>
          </w:p>
        </w:tc>
        <w:tc>
          <w:tcPr>
            <w:tcW w:w="70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 xml:space="preserve">Description </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Analysis methods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analysis methods — analysis methods"/>
                <w:id w:val="1685979330"/>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 xml:space="preserve">Briefly describe the methods </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Priors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priors"/>
                <w:id w:val="1603112739"/>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Model fit</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model fit assessment"/>
                <w:id w:val="201019478"/>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Consistency</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sistency assessment"/>
                <w:id w:val="517443726"/>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Convergence</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vergence assessment"/>
                <w:id w:val="1820375432"/>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outcomes"/>
                <w:id w:val="1610320730"/>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Follow-up timepoints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follow-up timepoints"/>
                <w:id w:val="935500728"/>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Construction of nodes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struction of nodes"/>
                <w:id w:val="461478005"/>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Sensitivity analyses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sensitivity analyses"/>
                <w:id w:val="230175398"/>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Subgroup analysis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subgroup analysis"/>
                <w:id w:val="56240840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Methods for pairwise meta-analysis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pairwise meta-analysis methods"/>
                <w:id w:val="1626573033"/>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Headinglvl1Working"/>
        <w:rPr/>
      </w:pPr>
      <w:bookmarkStart w:id="135" w:name="_Toc216182117"/>
      <w:bookmarkStart w:id="136" w:name="_Toc93475840"/>
      <w:bookmarkStart w:id="137" w:name="__RefHeading___Toc6210_3477833118"/>
      <w:bookmarkEnd w:id="137"/>
      <w:r>
        <w:rPr/>
        <w:t>Results</w:t>
      </w:r>
      <w:bookmarkEnd w:id="135"/>
      <w:bookmarkEnd w:id="136"/>
    </w:p>
    <w:p>
      <w:pPr>
        <w:pStyle w:val="Subheadinglvl1Working"/>
        <w:rPr/>
      </w:pPr>
      <w:r>
        <w:rPr/>
        <w:t>Summary of included studies</w:t>
      </w:r>
    </w:p>
    <w:p>
      <w:pPr>
        <w:pStyle w:val="BodyCopyWorking"/>
        <w:keepNext w:val="0"/>
      </w:pPr>
      <w:sdt>
        <w:sdtPr>
          <w:alias w:val="Completed response — Not reported in the supplied CSR: no indirect comparison is prese"/>
          <w:id w:val="1900000082"/>
        </w:sdtPr>
        <w:sdtContent>
          <w:r>
            <w:rPr>
              <w:rFonts w:ascii="Arial" w:hAnsi="Arial"/>
              <w:color w:val="000000"/>
              <w:sz w:val="20"/>
            </w:rPr>
            <w:t>Not reported in the supplied CSR: no indirect comparison is presented. (CSR pp. 32-37: direct placebo-controlled trial.)</w:t>
          </w:r>
        </w:sdtContent>
      </w:sdt>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The table below is an example of what may be used to provide a description of important differences across trials for key characteristics. The list of characteristics are examples; please add rows as appropriate (and delete a row only if the characteristic is irrelevant). No evidence of effect modification may be added as a comment, if appropriate. </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Describe the trials included in the systematic review, and the indirect comparison analysis (including number of trials and patients), highlighting any potential sources of heterogeneity (e.g., in the patients, interventions, outcomes, study design or follow up time). Please ensure that features that could lead to differences in treatment effect modifiers are addressed (e.g., patients recruited to studies of A versus B have less advanced disease than those in A versus C).</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Consider: Dosage, treatment duration, route of administration, supportive care as well as information on treatment titration, induction or maintenance treatment. Highlight the differences between trials, if any. </w:t>
      </w:r>
    </w:p>
    <w:p>
      <w:pPr>
        <w:pStyle w:val="TableTitleCADTH"/>
        <w:rPr>
          <w:rFonts w:cs="Arial"/>
          <w:color w:val="auto"/>
          <w:sz w:val="20"/>
          <w:szCs w:val="20"/>
          <w:lang w:val="en-CA"/>
        </w:rPr>
      </w:pPr>
      <w:bookmarkStart w:id="138" w:name="_Toc93475821"/>
      <w:r>
        <w:rPr>
          <w:rFonts w:cs="Arial"/>
          <w:color w:val="auto"/>
          <w:sz w:val="20"/>
          <w:szCs w:val="20"/>
          <w:lang w:val="en-CA"/>
        </w:rPr>
      </w:r>
      <w:r>
        <w:rPr>
          <w:rFonts w:cs="Arial"/>
          <w:bCs/>
          <w:color w:val="auto"/>
          <w:sz w:val="20"/>
          <w:szCs w:val="20"/>
          <w:lang w:val="en-CA"/>
        </w:rPr>
      </w:r>
      <w:r>
        <w:rPr>
          <w:rFonts w:cs="Arial"/>
          <w:color w:val="auto"/>
          <w:sz w:val="20"/>
          <w:szCs w:val="20"/>
          <w:lang w:val="en-CA"/>
        </w:rPr>
      </w:r>
      <w:bookmarkEnd w:id="138"/>
      <w:r>
        <w:rPr>
          <w:rFonts w:cs="Arial"/>
          <w:color w:val="auto"/>
          <w:sz w:val="20"/>
          <w:szCs w:val="20"/>
          <w:lang w:val="en-CA"/>
        </w:rPr>
      </w:r>
      <w:r>
        <w:t xml:space="preserve">Table 23: Sample Table for Assessment of Homogeneity </w:t>
      </w:r>
    </w:p>
    <w:tbl>
      <w:tblPr>
        <w:tblW w:w="48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769"/>
        <w:gridCol w:w="7347"/>
      </w:tblGrid>
      <w:tr>
        <w:trPr>
          <w:tblHeader/>
          <w:cantSplit/>
        </w:trPr>
        <w:tc>
          <w:tcPr>
            <w:tcW w:w="27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Characteristics</w:t>
            </w:r>
          </w:p>
        </w:tc>
        <w:tc>
          <w:tcPr>
            <w:tcW w:w="734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Description and handling of potential effect modifiers</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Disease severity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disease severity"/>
                <w:id w:val="626519908"/>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Comment on similarities and differences across studies and note if there were any relevant adjustments or sensitivity analyses. Indicate when the information required to compare across studies is missing (i.e., not reported).</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Treatment history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reatment history"/>
                <w:id w:val="171266473"/>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Trial eligibility criteria</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rial eligibility criteria"/>
                <w:id w:val="715193424"/>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Dosing of comparators</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dosing of comparators"/>
                <w:id w:val="1198897289"/>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Placebo response</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placebo response"/>
                <w:id w:val="1265773147"/>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Definitions of endpoints</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endpoint definitions"/>
                <w:id w:val="1749147245"/>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 xml:space="preserve">Timing of endpoint evaluation </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iming of endpoint evaluation"/>
                <w:id w:val="296348191"/>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Withdrawal frequency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withdrawal frequency"/>
                <w:id w:val="1369000073"/>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Clinical trial setting</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clinical trial setting"/>
                <w:id w:val="2019724292"/>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r>
        <w:trPr>
          <w:cantSplit/>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study design"/>
                <w:id w:val="2027707133"/>
              </w:sdtPr>
              <w:sdtContent>
                <w:r>
                  <w:rPr>
                    <w:rFonts w:ascii="Arial" w:hAnsi="Arial" w:cs="Arial"/>
                    <w:sz w:val="18"/>
                    <w:color w:val="000000"/>
                  </w:rPr>
                  <w:t xml:space="preserve">Not reported in the supplied CSR: no indirect comparison is presented. (CSR pp. 32-37: direct placebo-controlled trial.)</w:t>
                </w:r>
              </w:sdtContent>
            </w:sdt>
            <w:r>
              <w:rPr>
                <w:color w:val="C00000"/>
              </w:rPr>
              <w:t>As above</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Subheadinglvl1Working"/>
        <w:rPr/>
      </w:pPr>
      <w:r>
        <w:rPr/>
        <w:t>Evidence Networks</w:t>
      </w:r>
    </w:p>
    <w:p>
      <w:pPr>
        <w:pStyle w:val="BodyCopyWorking"/>
        <w:keepNext w:val="0"/>
      </w:pPr>
      <w:sdt>
        <w:sdtPr>
          <w:alias w:val="Completed response — Not reported in the supplied CSR: no indirect comparison is prese"/>
          <w:id w:val="1900000083"/>
        </w:sdtPr>
        <w:sdtContent>
          <w:r>
            <w:rPr>
              <w:rFonts w:ascii="Arial" w:hAnsi="Arial"/>
              <w:color w:val="000000"/>
              <w:sz w:val="20"/>
            </w:rPr>
            <w:t>Not reported in the supplied CSR: no indirect comparison is presented. (CSR pp. 32-37: direct placebo-controlled trial.)</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Provide a graphical depiction of the evidence network for each outcome of interest, if available. If a graphical description is not available, briefly describe the network, including the overall number of studies and number of studies contributing to the direct and indirect estimates for important comparisons. For any included figures, indicate the corresponding figure number in the technical report.</w:t>
      </w:r>
    </w:p>
    <w:p>
      <w:pPr>
        <w:pStyle w:val="Subheadinglvl1Working"/>
        <w:rPr/>
      </w:pPr>
      <w:r>
        <w:rPr/>
        <w:t>Efficacy</w:t>
      </w:r>
    </w:p>
    <w:p>
      <w:pPr>
        <w:pStyle w:val="BodyCopyWorking"/>
        <w:keepNext w:val="0"/>
      </w:pPr>
      <w:sdt>
        <w:sdtPr>
          <w:alias w:val="Completed response — Not reported in the supplied CSR: no indirect comparison is prese"/>
          <w:id w:val="1900000084"/>
        </w:sdtPr>
        <w:sdtContent>
          <w:r>
            <w:rPr>
              <w:rFonts w:ascii="Arial" w:hAnsi="Arial"/>
              <w:color w:val="000000"/>
              <w:sz w:val="20"/>
            </w:rPr>
            <w:t>Not reported in the supplied CSR: no indirect comparison is presented. (CSR pp. 32-37: direct placebo-controlled trial.)</w:t>
          </w:r>
        </w:sdtContent>
      </w:sdt>
    </w:p>
    <w:p>
      <w:pPr>
        <w:pStyle w:val="Normal"/>
        <w:spacing w:lineRule="auto" w:line="276" w:before="0" w:after="60"/>
        <w:rPr>
          <w:rFonts w:ascii="Arial" w:hAnsi="Arial" w:cs="Arial"/>
          <w:color w:val="C00000"/>
          <w:sz w:val="20"/>
          <w:szCs w:val="20"/>
        </w:rPr>
      </w:pPr>
      <w:r>
        <w:rPr>
          <w:rFonts w:cs="Arial" w:ascii="Arial" w:hAnsi="Arial"/>
          <w:color w:val="C00000"/>
          <w:sz w:val="20"/>
          <w:szCs w:val="20"/>
        </w:rPr>
        <w:t>Provide a summary of the indirect comparison results for efficacy outcomes, including point estimates and 95% confidence intervals and/or credible intervals (as appropriate for the method of analysis) for pairwise comparisons of interest to the review. The focus should be on comparisons with relevant comparators, particularly those not assessed in the systematic review evidence. If appropriate, present a tabular summary of the results that contains only the results for the most relevant interventions and outcomes). The tables below provide example formats that may be used to summarize results.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Describe the results relating to how well the selected model(s) fits the data </w:t>
      </w:r>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Describe the results of any assessments that were conducted such as assessments of heterogeneity, consistency, and, for MAICs, an assessment of weights.  An assessment of weights for a MAIC should at minimum include reporting the effective sample size, both overall and as a percentage of the original sample size of the trial after exclusions.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Provide a brief summary of the results of subgroup analyses and/or meta-regression, if relevant. Only if relevant/necessary, present the results of one or more sensitivity analyses. It is often sufficient to state that the results of all sensitivity analysis were consistent with the base case (if the methods used for the sensitivity analyses are appropriate and described adequately).</w:t>
      </w:r>
    </w:p>
    <w:p>
      <w:pPr>
        <w:pStyle w:val="TableTitleCADTH"/>
        <w:rPr>
          <w:rFonts w:cs="Arial"/>
          <w:bCs/>
          <w:color w:val="auto"/>
          <w:sz w:val="20"/>
          <w:szCs w:val="20"/>
          <w:lang w:val="en-CA"/>
        </w:rPr>
      </w:pPr>
      <w:bookmarkStart w:id="139" w:name="_Toc164763249"/>
      <w:bookmarkStart w:id="140" w:name="_Toc180148487"/>
      <w:bookmarkStart w:id="141" w:name="_Toc184987955"/>
      <w:r>
        <w:rPr>
          <w:rFonts w:cs="Arial"/>
          <w:bCs/>
          <w:color w:val="auto"/>
          <w:sz w:val="20"/>
          <w:szCs w:val="20"/>
          <w:lang w:val="en-CA"/>
        </w:rPr>
      </w:r>
      <w:bookmarkEnd w:id="139"/>
      <w:bookmarkEnd w:id="140"/>
      <w:bookmarkEnd w:id="141"/>
      <w:r>
        <w:t>Table 24: ITC Sample Data Table for Continuous Outcomes (e.g., Summary of NMA Results for Efficacy Results, [Treatment] Versus Comparators)</w:t>
      </w:r>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cantSplit/>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continuous outcomes — outcome 1 header"/>
                <w:id w:val="159852965"/>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continuous outcomes — outcome 2 header"/>
                <w:id w:val="152209311"/>
              </w:sdtPr>
              <w:sdtContent>
                <w:r>
                  <w:rPr>
                    <w:rFonts w:ascii="Arial" w:hAnsi="Arial" w:cs="Arial"/>
                    <w:sz w:val="18"/>
                    <w:color w:val="000000"/>
                  </w:rPr>
                  <w:t xml:space="preserve">Not reported in the supplied CSR: no indirect comparison is presented. (CSR pp. 32-37: direct placebo-controlled trial.)</w:t>
                </w:r>
              </w:sdtContent>
            </w:sdt>
          </w:p>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continuous outcomes — comparator 1 name"/>
                <w:id w:val="239892466"/>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1"/>
              <w:id w:val="228677229"/>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2"/>
              <w:id w:val="279834014"/>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lang w:val="en-CA"/>
              </w:rPr>
            </w:pPr>
            <w:sdt>
              <w:sdtPr>
                <w:alias w:val="Indirect comparison — continuous outcomes — comparator 2 name"/>
                <w:id w:val="931854948"/>
              </w:sdtPr>
              <w:sdtContent>
                <w:r>
                  <w:rPr>
                    <w:rFonts w:ascii="Arial" w:hAnsi="Arial" w:cs="Arial"/>
                    <w:sz w:val="18"/>
                    <w:color w:val="000000"/>
                  </w:rPr>
                  <w:t xml:space="preserve">Not reported in the supplied CSR: no indirect comparison is presented. (CSR pp. 32-37: direct placebo-controlled trial.)</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1"/>
              <w:id w:val="1983588840"/>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2"/>
              <w:id w:val="1403023323"/>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continuous outcomes — comparator 3 name"/>
                <w:id w:val="1025378523"/>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1"/>
              <w:id w:val="1471190389"/>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2"/>
              <w:id w:val="1269535842"/>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bl>
    <w:p>
      <w:pPr>
        <w:pStyle w:val="TableFooterCADTH"/>
        <w:rPr>
          <w:color w:val="C00000"/>
        </w:rPr>
      </w:pPr>
      <w:r>
        <w:rPr>
          <w:color w:val="C00000"/>
        </w:rPr>
        <w:t xml:space="preserve">Abbreviations must be listed under the table in alphabetical order. For example, </w:t>
      </w:r>
      <w:r>
        <w:rPr>
          <w:color w:val="C00000"/>
          <w:lang w:val="en-CA"/>
        </w:rPr>
        <w:t>CrI =, credible interval; OR = odds ratio; NA = not applicable; NMA = network meta-analysis.</w:t>
      </w:r>
    </w:p>
    <w:p>
      <w:pPr>
        <w:pStyle w:val="TableFooterCADTH"/>
        <w:rPr>
          <w:color w:val="C00000"/>
        </w:rPr>
      </w:pPr>
      <w:r>
        <w:rPr/>
        <w:t>Source</w:t>
      </w:r>
      <w:r>
        <w:rPr>
          <w:color w:val="C00000"/>
        </w:rPr>
        <w:t>: Indicate data source including citation (and corresponding table number[s] in the technical report where applicable).</w:t>
      </w:r>
      <w:r>
        <w:rPr/>
        <w:t xml:space="preserve"> </w:t>
      </w:r>
    </w:p>
    <w:p>
      <w:pPr>
        <w:pStyle w:val="TableTitleCADTH"/>
        <w:rPr>
          <w:rFonts w:cs="Arial"/>
          <w:bCs/>
          <w:color w:val="auto"/>
          <w:sz w:val="20"/>
          <w:szCs w:val="20"/>
          <w:lang w:val="en-CA"/>
        </w:rPr>
      </w:pPr>
      <w:r>
        <w:rPr>
          <w:rFonts w:cs="Arial"/>
          <w:bCs/>
          <w:color w:val="auto"/>
          <w:sz w:val="20"/>
          <w:szCs w:val="20"/>
          <w:lang w:val="en-CA"/>
        </w:rPr>
      </w:r>
      <w:r>
        <w:t>Table 25: ITC Sample Data Table for Dichotomous Outcomes (e.g., Summary of NMA Results for Efficacy Results, [Treatment] Versus Comparators)</w:t>
      </w:r>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cantSplit/>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dichotomous outcomes — outcome 1 header"/>
                <w:id w:val="218753826"/>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dichotomous outcomes — outcome 2 header"/>
                <w:id w:val="904553015"/>
              </w:sdtPr>
              <w:sdtContent>
                <w:r>
                  <w:rPr>
                    <w:rFonts w:ascii="Arial" w:hAnsi="Arial" w:cs="Arial"/>
                    <w:sz w:val="18"/>
                    <w:color w:val="000000"/>
                  </w:rPr>
                  <w:t xml:space="preserve">Not reported in the supplied CSR: no indirect comparison is presented. (CSR pp. 32-37: direct placebo-controlled trial.)</w:t>
                </w:r>
              </w:sdtContent>
            </w:sdt>
          </w:p>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dichotomous outcomes — comparator 1 name"/>
                <w:id w:val="672981599"/>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1"/>
              <w:id w:val="885216680"/>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2"/>
              <w:id w:val="771789635"/>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lang w:val="en-CA"/>
              </w:rPr>
            </w:pPr>
            <w:sdt>
              <w:sdtPr>
                <w:alias w:val="Indirect comparison — dichotomous outcomes — comparator 2 name"/>
                <w:id w:val="1656648519"/>
              </w:sdtPr>
              <w:sdtContent>
                <w:r>
                  <w:rPr>
                    <w:rFonts w:ascii="Arial" w:hAnsi="Arial" w:cs="Arial"/>
                    <w:sz w:val="18"/>
                    <w:color w:val="000000"/>
                  </w:rPr>
                  <w:t xml:space="preserve">Not reported in the supplied CSR: no indirect comparison is presented. (CSR pp. 32-37: direct placebo-controlled trial.)</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1"/>
              <w:id w:val="319886392"/>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2"/>
              <w:id w:val="2072108177"/>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r>
        <w:trPr>
          <w:cantSplit/>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dichotomous outcomes — comparator 3 name"/>
                <w:id w:val="1275972865"/>
              </w:sdtPr>
              <w:sdtContent>
                <w:r>
                  <w:rPr>
                    <w:rFonts w:ascii="Arial" w:hAnsi="Arial" w:cs="Arial"/>
                    <w:sz w:val="18"/>
                    <w:color w:val="000000"/>
                  </w:rPr>
                  <w:t xml:space="preserve">Not reported in the supplied CSR: no indirect comparison is presented. (CSR pp. 32-37: direct placebo-controlled trial.)</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1"/>
              <w:id w:val="1053497291"/>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2"/>
              <w:id w:val="1709767885"/>
            </w:sdtPr>
            <w:sdtContent>
              <w:p>
                <w:pPr>
                  <w:pStyle w:val="BodyCopyWorking"/>
                </w:pPr>
                <w:r>
                  <w:rPr>
                    <w:rFonts w:ascii="Arial" w:hAnsi="Arial" w:cs="Arial"/>
                    <w:sz w:val="18"/>
                    <w:color w:val="000000"/>
                  </w:rPr>
                  <w:t xml:space="preserve">Not reported in the supplied CSR: no indirect comparison is presented. (CSR pp. 32-37: direct placebo-controlled trial.)</w:t>
                </w:r>
              </w:p>
            </w:sdtContent>
          </w:sdt>
        </w:tc>
      </w:tr>
    </w:tbl>
    <w:p>
      <w:pPr>
        <w:pStyle w:val="TableFooterCADTH"/>
        <w:rPr>
          <w:color w:val="C00000"/>
        </w:rPr>
      </w:pPr>
      <w:r>
        <w:rPr>
          <w:color w:val="C00000"/>
        </w:rPr>
        <w:t xml:space="preserve">Abbreviations must be listed under the table in alphabetical order. For example, </w:t>
      </w:r>
      <w:r>
        <w:rPr>
          <w:color w:val="C00000"/>
          <w:lang w:val="en-CA"/>
        </w:rPr>
        <w:t>CrI =, credible interval; OR = odds ratio; NA = not applicable; NMA = network meta-analysis.</w:t>
      </w:r>
    </w:p>
    <w:p>
      <w:pPr>
        <w:pStyle w:val="TableFooterCADTH"/>
        <w:rPr>
          <w:color w:val="C00000"/>
        </w:rPr>
      </w:pPr>
      <w:r>
        <w:rPr/>
        <w:t>Source: I</w:t>
      </w:r>
      <w:r>
        <w:rPr>
          <w:color w:val="C00000"/>
        </w:rPr>
        <w:t>indicate data source including citation (and corresponding table number[s] in the technical report where applicable).</w:t>
      </w:r>
      <w:r>
        <w:rPr/>
        <w:t xml:space="preserve"> </w:t>
      </w:r>
    </w:p>
    <w:p>
      <w:pPr>
        <w:pStyle w:val="Subheadinglvl2Working"/>
        <w:rPr/>
      </w:pPr>
      <w:sdt>
        <w:sdtPr>
          <w:alias w:val="Other-design study — efficacy endpoint 1 heading"/>
          <w:id w:val="1538325956"/>
        </w:sdtPr>
        <w:sdtContent>
          <w:r>
            <w:rPr>
              <w:rFonts w:ascii="Arial" w:hAnsi="Arial" w:cs="Arial"/>
              <w:sz w:val="20"/>
              <w:color w:val="000000"/>
            </w:rPr>
            <w:t xml:space="preserve">Indirect comparison not reported in supplied CSR. (CSR pp. 32-37.)</w:t>
          </w:r>
        </w:sdtContent>
      </w:sdt>
    </w:p>
    <w:p>
      <w:pPr>
        <w:pStyle w:val="Normal"/>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rPr>
          <w:rFonts w:ascii="Arial" w:hAnsi="Arial" w:cs="Arial"/>
          <w:color w:val="C00000"/>
          <w:sz w:val="20"/>
          <w:szCs w:val="20"/>
        </w:rPr>
      </w:pPr>
      <w:r>
        <w:rPr>
          <w:rFonts w:cs="Arial" w:ascii="Arial" w:hAnsi="Arial"/>
          <w:color w:val="C00000"/>
          <w:sz w:val="20"/>
          <w:szCs w:val="20"/>
        </w:rPr>
      </w:r>
    </w:p>
    <w:p>
      <w:pPr>
        <w:pStyle w:val="Subheadinglvl2Working"/>
        <w:rPr/>
      </w:pPr>
      <w:sdt>
        <w:sdtPr>
          <w:alias w:val="Other-design study — efficacy endpoint 2 heading"/>
          <w:id w:val="76725622"/>
        </w:sdtPr>
        <w:sdtContent>
          <w:r>
            <w:rPr>
              <w:rFonts w:ascii="Arial" w:hAnsi="Arial" w:cs="Arial"/>
              <w:sz w:val="20"/>
              <w:color w:val="000000"/>
            </w:rPr>
            <w:t xml:space="preserve">Indirect comparison not reported in supplied CSR. (CSR pp. 32-37.)</w:t>
          </w:r>
        </w:sdtContent>
      </w:sdt>
    </w:p>
    <w:p>
      <w:pPr>
        <w:pStyle w:val="Normal"/>
        <w:rPr>
          <w:color w:val="C00000"/>
          <w:sz w:val="20"/>
          <w:szCs w:val="20"/>
        </w:rPr>
      </w:pPr>
      <w:r>
        <w:rPr>
          <w:rFonts w:cs="Arial" w:ascii="Arial" w:hAnsi="Arial"/>
          <w:color w:val="C00000"/>
          <w:sz w:val="20"/>
          <w:szCs w:val="20"/>
        </w:rPr>
        <w:t xml:space="preserve">Please use a separate subheading for each endpoint. </w:t>
      </w:r>
    </w:p>
    <w:p>
      <w:pPr>
        <w:pStyle w:val="Normal"/>
        <w:rPr>
          <w:color w:val="C00000"/>
          <w:sz w:val="20"/>
          <w:szCs w:val="20"/>
        </w:rPr>
      </w:pPr>
      <w:r>
        <w:rPr>
          <w:color w:val="C00000"/>
          <w:sz w:val="20"/>
          <w:szCs w:val="20"/>
        </w:rPr>
      </w:r>
    </w:p>
    <w:p>
      <w:pPr>
        <w:pStyle w:val="Subheadinglvl2Working"/>
        <w:rPr/>
      </w:pPr>
      <w:sdt>
        <w:sdtPr>
          <w:alias w:val="Other-design study — efficacy endpoint 3 heading"/>
          <w:id w:val="1612865958"/>
        </w:sdtPr>
        <w:sdtContent>
          <w:r>
            <w:rPr>
              <w:rFonts w:ascii="Arial" w:hAnsi="Arial" w:cs="Arial"/>
              <w:sz w:val="20"/>
              <w:color w:val="000000"/>
            </w:rPr>
            <w:t xml:space="preserve">Indirect comparison not reported in supplied CSR. (CSR pp. 32-37.)</w:t>
          </w:r>
        </w:sdtContent>
      </w:sdt>
    </w:p>
    <w:p>
      <w:pPr>
        <w:pStyle w:val="Normal"/>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BodyCopyWorking"/>
        <w:keepNext w:val="0"/>
      </w:pPr>
      <w:sdt>
        <w:sdtPr>
          <w:alias w:val="Completed response — Not reported in the supplied CSR: no indirect comparison is prese"/>
          <w:id w:val="1900000085"/>
        </w:sdtPr>
        <w:sdtContent>
          <w:r>
            <w:rPr>
              <w:rFonts w:ascii="Arial" w:hAnsi="Arial"/>
              <w:color w:val="000000"/>
              <w:sz w:val="20"/>
            </w:rPr>
            <w:t>Not reported in the supplied CSR: no indirect comparison is presented. (CSR pp. 32-37: direct placebo-controlled trial.)</w:t>
          </w:r>
        </w:sdtContent>
      </w:sdt>
    </w:p>
    <w:p>
      <w:pPr>
        <w:pStyle w:val="Normal"/>
        <w:rPr>
          <w:rFonts w:ascii="Arial" w:hAnsi="Arial" w:cs="Arial"/>
          <w:color w:val="C00000"/>
          <w:sz w:val="20"/>
          <w:szCs w:val="20"/>
        </w:rPr>
      </w:pPr>
      <w:r>
        <w:rPr>
          <w:rFonts w:cs="Arial" w:ascii="Arial" w:hAnsi="Arial"/>
          <w:color w:val="C00000"/>
          <w:sz w:val="20"/>
          <w:szCs w:val="20"/>
        </w:rPr>
      </w:r>
    </w:p>
    <w:p>
      <w:pPr>
        <w:pStyle w:val="Subheadinglvl1Working"/>
        <w:rPr/>
      </w:pPr>
      <w:r>
        <w:rPr/>
        <w:t>Harms</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Provide a summary of the indirect comparison results for harms outcomes using the guidance provided above. If no harms endpoints were evaluated in the indirect comparison, please state this within this section (i.e., do not delete the section heading in the absence of comparative harms data). </w:t>
      </w:r>
    </w:p>
    <w:p>
      <w:pPr>
        <w:pStyle w:val="Headinglvl1Working"/>
        <w:rPr/>
      </w:pPr>
      <w:bookmarkStart w:id="142" w:name="_Toc216182118"/>
      <w:bookmarkStart w:id="143" w:name="_Toc93475841"/>
      <w:bookmarkStart w:id="144" w:name="__RefHeading___Toc6208_3477833118"/>
      <w:bookmarkEnd w:id="144"/>
      <w:r>
        <w:rPr/>
        <w:t>Sponsor Summary and Conclusion</w:t>
      </w:r>
      <w:bookmarkEnd w:id="142"/>
      <w:bookmarkEnd w:id="143"/>
    </w:p>
    <w:sdt>
      <w:sdtPr>
        <w:alias w:val="Indirect comparison — sponsor summary and conclusion"/>
        <w:id w:val="1981007380"/>
      </w:sdtPr>
      <w:sdtContent>
        <w:p>
          <w:pPr>
            <w:pStyle w:val="BodyCopyWorking"/>
          </w:pPr>
          <w:r>
            <w:rPr>
              <w:rFonts w:ascii="Arial" w:hAnsi="Arial" w:cs="Arial"/>
              <w:sz w:val="20"/>
              <w:color w:val="000000"/>
            </w:rPr>
            <w:t xml:space="preserve">Indirect comparison not reported in supplied CSR. (CSR pp. 32-37.)</w:t>
          </w:r>
        </w:p>
      </w:sdtContent>
    </w:sdt>
    <w:p>
      <w:pPr>
        <w:pStyle w:val="Normal"/>
        <w:spacing w:lineRule="auto" w:line="276"/>
        <w:rPr>
          <w:rFonts w:ascii="Arial" w:hAnsi="Arial" w:cs="Arial"/>
          <w:b/>
          <w:bCs/>
          <w:color w:val="C00000"/>
          <w:sz w:val="20"/>
          <w:szCs w:val="20"/>
        </w:rPr>
      </w:pPr>
      <w:r>
        <w:rPr>
          <w:rFonts w:cs="Arial" w:ascii="Arial" w:hAnsi="Arial"/>
          <w:color w:val="C00000"/>
          <w:sz w:val="20"/>
          <w:szCs w:val="20"/>
        </w:rPr>
        <w:t xml:space="preserve">In this section the sponsor may provide a brief summary and their conclusions regarding the evidence from the indirect comparisons. </w:t>
      </w:r>
      <w:r>
        <w:rPr>
          <w:rFonts w:cs="Arial" w:ascii="Arial" w:hAnsi="Arial"/>
          <w:b/>
          <w:bCs/>
          <w:color w:val="C00000"/>
          <w:sz w:val="20"/>
          <w:szCs w:val="20"/>
        </w:rPr>
        <w:t>This section must not exceed 1 page.</w:t>
      </w:r>
      <w:r>
        <w:br w:type="page"/>
      </w:r>
    </w:p>
    <w:p>
      <w:pPr>
        <w:pStyle w:val="SectionHeadingWorking"/>
        <w:spacing w:before="0" w:after="120"/>
        <w:rPr/>
      </w:pPr>
      <w:bookmarkStart w:id="145" w:name="_Toc216182119"/>
      <w:bookmarkStart w:id="146" w:name="_Toc93475847"/>
      <w:bookmarkStart w:id="147" w:name="__RefHeading___Toc6180_3477833118"/>
      <w:bookmarkEnd w:id="147"/>
      <w:r>
        <w:rPr/>
        <w:t>Section 5. Studies Addressing Gaps in the Pivotal and RCT Evidence</w:t>
      </w:r>
      <w:bookmarkEnd w:id="145"/>
      <w:bookmarkEnd w:id="146"/>
    </w:p>
    <w:p>
      <w:pPr>
        <w:pStyle w:val="BodyCopyCADTH"/>
        <w:spacing w:before="0" w:after="0"/>
        <w:ind w:start="0"/>
        <w:rPr>
          <w:color w:val="C00000"/>
          <w:sz w:val="20"/>
          <w:szCs w:val="20"/>
        </w:rPr>
      </w:pPr>
      <w:bookmarkStart w:id="148" w:name="_Toc93475848"/>
      <w:r>
        <w:rPr>
          <w:color w:val="C00000"/>
          <w:sz w:val="20"/>
          <w:szCs w:val="20"/>
          <w:lang w:val="en-CA" w:eastAsia="en-CA"/>
        </w:rPr>
        <w:t xml:space="preserve">In this section the sponsor may summarize evidence from additional studies that address important gaps in the evidence presented in sections 2 to 3 of the template. </w:t>
      </w:r>
      <w:r>
        <w:rPr>
          <w:color w:val="C00000"/>
          <w:sz w:val="20"/>
          <w:szCs w:val="20"/>
        </w:rPr>
        <w:t>Prior to completing Section 5, sponsors must clearly identify the gaps in the evidence that has been provided in each of the preceding sections. Justification for the inclusion of real-world evidence must be provided; this should cover, as relevant, the reasons for the absence of randomized evidence, the limitations of existing trials, and the ability to produce meaningful real-world evidence for the specific research question.</w:t>
      </w:r>
    </w:p>
    <w:p>
      <w:pPr>
        <w:pStyle w:val="BodyCopyCADTH"/>
        <w:spacing w:before="0" w:after="0"/>
        <w:ind w:start="0"/>
        <w:rPr>
          <w:color w:val="C00000"/>
          <w:sz w:val="20"/>
          <w:szCs w:val="20"/>
        </w:rPr>
      </w:pPr>
      <w:r>
        <w:rPr>
          <w:color w:val="C00000"/>
          <w:sz w:val="20"/>
          <w:szCs w:val="20"/>
        </w:rPr>
      </w:r>
    </w:p>
    <w:p>
      <w:pPr>
        <w:pStyle w:val="BodyCopyCADTH"/>
        <w:spacing w:before="0" w:after="0"/>
        <w:ind w:start="0"/>
        <w:rPr>
          <w:color w:val="C00000"/>
          <w:sz w:val="20"/>
          <w:szCs w:val="20"/>
          <w:lang w:val="en-CA" w:eastAsia="en-CA"/>
        </w:rPr>
      </w:pPr>
      <w:r>
        <w:rPr>
          <w:color w:val="C00000"/>
          <w:sz w:val="20"/>
          <w:szCs w:val="20"/>
        </w:rPr>
        <w:t>If no additional evidence is provided, this section can be deleted.</w:t>
      </w:r>
    </w:p>
    <w:p>
      <w:pPr>
        <w:pStyle w:val="Headinglvl1Working"/>
        <w:rPr/>
      </w:pPr>
      <w:bookmarkStart w:id="149" w:name="_Toc216182120"/>
      <w:bookmarkStart w:id="150" w:name="__RefHeading___Toc6206_3477833118"/>
      <w:bookmarkEnd w:id="148"/>
      <w:bookmarkEnd w:id="150"/>
      <w:r>
        <w:rPr/>
        <w:t>Summary of Gaps in the Evidence</w:t>
      </w:r>
      <w:bookmarkEnd w:id="149"/>
    </w:p>
    <w:p>
      <w:pPr>
        <w:pStyle w:val="Normal"/>
        <w:rPr>
          <w:rFonts w:ascii="Arial" w:hAnsi="Arial" w:cs="Arial"/>
          <w:color w:val="C00000"/>
          <w:sz w:val="20"/>
          <w:szCs w:val="20"/>
        </w:rPr>
      </w:pPr>
      <w:r>
        <w:rPr>
          <w:rFonts w:cs="Arial" w:ascii="Arial" w:hAnsi="Arial"/>
          <w:color w:val="C00000"/>
          <w:sz w:val="20"/>
          <w:szCs w:val="20"/>
        </w:rPr>
        <w:t>The summary table below is required for all applications where the sponsor chooses to include additional evidence.</w:t>
      </w:r>
    </w:p>
    <w:p>
      <w:pPr>
        <w:pStyle w:val="TableTitleCADTH"/>
        <w:rPr>
          <w:color w:val="auto"/>
          <w:sz w:val="20"/>
          <w:szCs w:val="20"/>
        </w:rPr>
      </w:pPr>
      <w:r>
        <w:rPr>
          <w:color w:val="auto"/>
          <w:sz w:val="20"/>
          <w:szCs w:val="20"/>
        </w:rPr>
      </w:r>
      <w:r>
        <w:t>Table 26: Summary of Gaps in the Evidence</w:t>
      </w:r>
    </w:p>
    <w:tbl>
      <w:tblPr>
        <w:tblW w:w="10348"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168"/>
        <w:gridCol w:w="2947"/>
        <w:gridCol w:w="4196"/>
        <w:gridCol w:w="37"/>
      </w:tblGrid>
      <w:tr>
        <w:trPr>
          <w:trHeight w:val="20" w:hRule="atLeast"/>
          <w:cantSplit/>
        </w:trPr>
        <w:tc>
          <w:tcPr>
            <w:tcW w:w="316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t xml:space="preserve">Gap in Pivotal and RCT Evidence </w:t>
            </w:r>
          </w:p>
        </w:tc>
        <w:tc>
          <w:tcPr>
            <w:tcW w:w="7143"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Studies that Address Gaps</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cantSplit/>
        </w:trPr>
        <w:tc>
          <w:tcPr>
            <w:tcW w:w="3167" w:type="dxa"/>
            <w:vMerge w:val="continue"/>
            <w:tcBorders>
              <w:top w:val="single" w:sz="4" w:space="0" w:color="000000"/>
              <w:start w:val="single" w:sz="4" w:space="0" w:color="000000"/>
              <w:bottom w:val="single" w:sz="4" w:space="0" w:color="000000"/>
              <w:end w:val="single" w:sz="4" w:space="0" w:color="000000"/>
            </w:tcBorders>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r>
          </w:p>
        </w:tc>
        <w:tc>
          <w:tcPr>
            <w:tcW w:w="29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Study Description</w:t>
            </w:r>
          </w:p>
        </w:tc>
        <w:tc>
          <w:tcPr>
            <w:tcW w:w="423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start w:w="5" w:type="dxa"/>
              <w:end w:w="5" w:type="dxa"/>
            </w:tcM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Summary of Key Results</w:t>
            </w:r>
          </w:p>
        </w:tc>
      </w:tr>
      <w:tr>
        <w:trPr>
          <w:trHeight w:val="20" w:hRule="atLeast"/>
          <w:cantSplit/>
        </w:trPr>
        <w:tc>
          <w:tcPr>
            <w:tcW w:w="3167" w:type="dxa"/>
            <w:tcBorders>
              <w:start w:val="single" w:sz="8" w:space="0" w:color="000000"/>
              <w:bottom w:val="single" w:sz="8" w:space="0" w:color="000000"/>
              <w:end w:val="single" w:sz="8" w:space="0" w:color="000000"/>
            </w:tcBorders>
          </w:tcPr>
          <w:p>
            <w:pPr>
              <w:pStyle w:val="ListParagraph"/>
              <w:spacing w:before="0" w:after="0"/>
              <w:ind w:start="0"/>
              <w:contextualSpacing/>
              <w:rPr>
                <w:rFonts w:ascii="Arial" w:hAnsi="Arial" w:cs="Arial"/>
                <w:color w:val="C00000"/>
                <w:sz w:val="18"/>
                <w:szCs w:val="18"/>
              </w:rPr>
            </w:pPr>
            <w:sdt>
              <w:sdtPr>
                <w:alias w:val="Evidence gaps — gap description"/>
                <w:id w:val="1883415620"/>
              </w:sdtPr>
              <w:sdtContent>
                <w:r>
                  <w:rPr>
                    <w:rFonts w:ascii="Arial" w:hAnsi="Arial" w:cs="Arial"/>
                    <w:sz w:val="18"/>
                    <w:color w:val="000000"/>
                  </w:rPr>
                  <w:t xml:space="preserve">No active comparator; type 2 diabetes excluded; extension results separate. (CSR pp. 32, 35-37.)</w:t>
                </w:r>
              </w:sdtContent>
            </w:sdt>
            <w:r>
              <w:rPr>
                <w:rFonts w:cs="Arial" w:ascii="Arial" w:hAnsi="Arial"/>
                <w:color w:val="C00000"/>
                <w:sz w:val="18"/>
                <w:szCs w:val="18"/>
              </w:rPr>
              <w:t>e.g. Describe the populations and/outcomes that were not studied in the pivotal studies or other RCTs</w:t>
            </w:r>
          </w:p>
        </w:tc>
        <w:tc>
          <w:tcPr>
            <w:tcW w:w="2947" w:type="dxa"/>
            <w:tcBorders>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sdt>
              <w:sdtPr>
                <w:alias w:val="Evidence gaps — addressing study description"/>
                <w:id w:val="527459532"/>
              </w:sdtPr>
              <w:sdtContent>
                <w:r>
                  <w:rPr>
                    <w:rFonts w:ascii="Arial" w:hAnsi="Arial" w:cs="Arial"/>
                    <w:sz w:val="18"/>
                    <w:color w:val="000000"/>
                  </w:rPr>
                  <w:t xml:space="preserve">Not reported in the supplied CSR: no additional study report is provided for this field. (CSR pp. 1, 32, 35-36.)</w:t>
                </w:r>
              </w:sdtContent>
            </w:sdt>
            <w:r>
              <w:rPr>
                <w:rFonts w:cs="Arial" w:ascii="Arial" w:hAnsi="Arial"/>
                <w:color w:val="C00000"/>
                <w:sz w:val="18"/>
                <w:szCs w:val="18"/>
              </w:rPr>
              <w:t>Briefly describe (e.g., 52-week, prospective observational study)</w:t>
            </w:r>
          </w:p>
        </w:tc>
        <w:tc>
          <w:tcPr>
            <w:tcW w:w="4196" w:type="dxa"/>
            <w:tcBorders>
              <w:bottom w:val="single" w:sz="8" w:space="0" w:color="000000"/>
              <w:end w:val="single" w:sz="8" w:space="0" w:color="000000"/>
            </w:tcBorders>
            <w:tcMar>
              <w:start w:w="5" w:type="dxa"/>
              <w:end w:w="5" w:type="dxa"/>
            </w:tcMar>
          </w:tcPr>
          <w:p>
            <w:pPr>
              <w:pStyle w:val="ListParagraph"/>
              <w:spacing w:before="0" w:after="0"/>
              <w:ind w:start="106"/>
              <w:contextualSpacing w:val="false"/>
              <w:rPr>
                <w:rFonts w:ascii="Arial" w:hAnsi="Arial" w:cs="Arial"/>
                <w:color w:val="C00000"/>
                <w:sz w:val="18"/>
                <w:szCs w:val="18"/>
              </w:rPr>
            </w:pPr>
            <w:sdt>
              <w:sdtPr>
                <w:alias w:val="Evidence gaps — key results summary"/>
                <w:id w:val="344059515"/>
              </w:sdtPr>
              <w:sdtContent>
                <w:r>
                  <w:rPr>
                    <w:rFonts w:ascii="Arial" w:hAnsi="Arial" w:cs="Arial"/>
                    <w:sz w:val="18"/>
                    <w:color w:val="000000"/>
                  </w:rPr>
                  <w:t xml:space="preserve">Not reported in the supplied CSR: no additional study report is provided for this field. (CSR pp. 1, 32, 35-36.)</w:t>
                </w:r>
              </w:sdtContent>
            </w:sdt>
            <w:r>
              <w:rPr>
                <w:rFonts w:cs="Arial" w:ascii="Arial" w:hAnsi="Arial"/>
                <w:color w:val="C00000"/>
                <w:sz w:val="18"/>
                <w:szCs w:val="18"/>
              </w:rPr>
              <w:t>Briefly describe the key results focusing on how the evidence addresses the important gap in the evidence</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cantSplit/>
        </w:trPr>
        <w:tc>
          <w:tcPr>
            <w:tcW w:w="3167" w:type="dxa"/>
            <w:tcBorders>
              <w:start w:val="single" w:sz="8" w:space="0" w:color="000000"/>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r>
              <w:rPr>
                <w:rFonts w:cs="Arial" w:ascii="Arial" w:hAnsi="Arial"/>
                <w:color w:val="C00000"/>
                <w:sz w:val="18"/>
                <w:szCs w:val="18"/>
              </w:rPr>
              <w:t>Add rows as required</w:t>
            </w:r>
          </w:p>
          <w:p>
            <w:pPr>
              <w:keepNext w:val="0"/>
            </w:pPr>
            <w:sdt>
              <w:sdtPr>
                <w:alias w:val="Completed response — Not reported in the supplied CSR: no additional study report is p"/>
                <w:id w:val="1900000086"/>
              </w:sdtPr>
              <w:sdtContent>
                <w:r>
                  <w:rPr>
                    <w:rFonts w:ascii="Arial" w:hAnsi="Arial"/>
                    <w:color w:val="000000"/>
                    <w:sz w:val="18"/>
                  </w:rPr>
                  <w:t>Not reported in the supplied CSR: no additional study report is provided for this field. (CSR pp. 1, 32, 35-36.)</w:t>
                </w:r>
              </w:sdtContent>
            </w:sdt>
          </w:p>
        </w:tc>
        <w:tc>
          <w:tcPr>
            <w:tcW w:w="2947" w:type="dxa"/>
            <w:tcBorders>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r>
              <w:rPr>
                <w:rFonts w:cs="Arial" w:ascii="Arial" w:hAnsi="Arial"/>
                <w:color w:val="C00000"/>
                <w:sz w:val="18"/>
                <w:szCs w:val="18"/>
              </w:rPr>
              <w:t>As above</w:t>
            </w:r>
          </w:p>
          <w:p>
            <w:pPr>
              <w:keepNext w:val="0"/>
            </w:pPr>
            <w:sdt>
              <w:sdtPr>
                <w:alias w:val="Completed response — Not reported in the supplied CSR: no additional study report is p"/>
                <w:id w:val="1900000087"/>
              </w:sdtPr>
              <w:sdtContent>
                <w:r>
                  <w:rPr>
                    <w:rFonts w:ascii="Arial" w:hAnsi="Arial"/>
                    <w:color w:val="000000"/>
                    <w:sz w:val="18"/>
                  </w:rPr>
                  <w:t>Not reported in the supplied CSR: no additional study report is provided for this field. (CSR pp. 1, 32, 35-36.)</w:t>
                </w:r>
              </w:sdtContent>
            </w:sdt>
          </w:p>
        </w:tc>
        <w:tc>
          <w:tcPr>
            <w:tcW w:w="4196" w:type="dxa"/>
            <w:tcBorders>
              <w:bottom w:val="single" w:sz="8" w:space="0" w:color="000000"/>
              <w:end w:val="single" w:sz="8" w:space="0" w:color="000000"/>
            </w:tcBorders>
            <w:tcMar>
              <w:start w:w="5" w:type="dxa"/>
              <w:end w:w="5" w:type="dxa"/>
            </w:tcMar>
          </w:tcPr>
          <w:p>
            <w:pPr>
              <w:pStyle w:val="ListParagraph"/>
              <w:spacing w:before="0" w:after="0"/>
              <w:ind w:start="97"/>
              <w:contextualSpacing w:val="false"/>
              <w:rPr>
                <w:rFonts w:ascii="Arial" w:hAnsi="Arial" w:cs="Arial"/>
                <w:color w:val="C00000"/>
                <w:sz w:val="18"/>
                <w:szCs w:val="18"/>
              </w:rPr>
            </w:pPr>
            <w:r>
              <w:rPr>
                <w:rFonts w:cs="Arial" w:ascii="Arial" w:hAnsi="Arial"/>
                <w:color w:val="C00000"/>
                <w:sz w:val="18"/>
                <w:szCs w:val="18"/>
              </w:rPr>
              <w:t>As above</w:t>
            </w:r>
          </w:p>
          <w:p>
            <w:pPr>
              <w:keepNext w:val="0"/>
            </w:pPr>
            <w:sdt>
              <w:sdtPr>
                <w:alias w:val="Completed response — Not reported in the supplied CSR: no additional study report is p"/>
                <w:id w:val="1900000088"/>
              </w:sdtPr>
              <w:sdtContent>
                <w:r>
                  <w:rPr>
                    <w:rFonts w:ascii="Arial" w:hAnsi="Arial"/>
                    <w:color w:val="000000"/>
                    <w:sz w:val="18"/>
                  </w:rPr>
                  <w:t>Not reported in the supplied CSR: no additional study report is provided for this field. (CSR pp. 1, 32, 35-36.)</w:t>
                </w:r>
              </w:sdtContent>
            </w:sdt>
          </w:p>
        </w:tc>
        <w:tc>
          <w:tcPr>
            <w:tcW w:w="38" w:type="dxa"/>
            <w:tcBorders/>
            <w:tcMar>
              <w:start w:w="5" w:type="dxa"/>
              <w:end w:w="5" w:type="dxa"/>
            </w:tcMar>
          </w:tcPr>
          <w:p>
            <w:pPr>
              <w:pStyle w:val="Normal"/>
              <w:spacing w:lineRule="atLeast" w:line="0" w:before="0" w:after="0"/>
              <w:rPr>
                <w:sz w:val="2"/>
              </w:rPr>
            </w:pPr>
            <w:r>
              <w:rPr>
                <w:sz w:val="2"/>
              </w:rPr>
            </w:r>
          </w:p>
        </w:tc>
      </w:tr>
    </w:tbl>
    <w:p>
      <w:pPr>
        <w:pStyle w:val="Normal"/>
        <w:rPr/>
      </w:pPr>
      <w:r>
        <w:rPr/>
      </w:r>
    </w:p>
    <w:p>
      <w:pPr>
        <w:pStyle w:val="Normal"/>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If multiple studies are included, report the format below for each study under the appropriate subsection (either Clinical Trials or Studies of Other Designs). The Clinical Trials section may include trials that did not meet the inclusion criteria of the systematic review protocol but are included in Section 5 to fill a gap in the evidence and should be placed under a separate subsection from Studies of Other Designs (e.g., observational designs including real-world evidence studies). The Clinical Trials subsection may be further subdivided based on study design (e.g., Phase II RCTs, single-arm trials, RWE). Clinical trials of similar design may be summarized together with a subsection. Please delete the Clinical Trials or Studies of Other Designs subsection if no evidence is included in that subsection.</w:t>
      </w:r>
    </w:p>
    <w:p>
      <w:pPr>
        <w:pStyle w:val="Headinglvl1Working"/>
        <w:rPr/>
      </w:pPr>
      <w:bookmarkStart w:id="151" w:name="_Toc216182121"/>
      <w:bookmarkStart w:id="152" w:name="__RefHeading___Toc6204_3477833118"/>
      <w:bookmarkEnd w:id="152"/>
      <w:r>
        <w:rPr/>
        <w:t xml:space="preserve">Description of </w:t>
      </w:r>
      <w:sdt>
        <w:sdtPr>
          <w:alias w:val="Other-design study — study ID (heading)"/>
          <w:id w:val="1803231675"/>
        </w:sdtPr>
        <w:sdtContent>
          <w:r>
            <w:rPr>
              <w:rFonts w:ascii="Arial" w:hAnsi="Arial" w:cs="Arial"/>
              <w:sz w:val="20"/>
              <w:color w:val="000000"/>
            </w:rPr>
            <w:t xml:space="preserve">Not reported in the supplied CSR: no additional study report is provided for this field. (CSR pp. 1, 32, 35-36.)</w:t>
          </w:r>
        </w:sdtContent>
      </w:sdt>
    </w:p>
    <w:p>
      <w:pPr>
        <w:pStyle w:val="Normal"/>
        <w:rPr>
          <w:rFonts w:ascii="Arial" w:hAnsi="Arial" w:cs="Arial"/>
          <w:color w:val="C00000"/>
          <w:sz w:val="20"/>
          <w:szCs w:val="20"/>
        </w:rPr>
      </w:pPr>
      <w:r>
        <w:rPr>
          <w:rFonts w:cs="Arial" w:ascii="Arial" w:hAnsi="Arial"/>
          <w:color w:val="C00000"/>
          <w:sz w:val="20"/>
          <w:szCs w:val="20"/>
        </w:rPr>
        <w:t>If multiple studies are included, report the format below for each study.</w:t>
      </w:r>
    </w:p>
    <w:p>
      <w:pPr>
        <w:pStyle w:val="Subheadinglvl1Working"/>
        <w:rPr/>
      </w:pPr>
      <w:r>
        <w:rPr/>
        <w:t xml:space="preserve">Study Design and Objectives </w:t>
      </w:r>
    </w:p>
    <w:p>
      <w:pPr>
        <w:pStyle w:val="BodyCopyWorking"/>
        <w:keepNext w:val="0"/>
      </w:pPr>
      <w:sdt>
        <w:sdtPr>
          <w:alias w:val="Completed response — Not reported in the supplied CSR: no additional study report is p"/>
          <w:id w:val="1900000089"/>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Provide a brief overview of the study including study description (name, type, design).</w:t>
      </w:r>
    </w:p>
    <w:p>
      <w:pPr>
        <w:pStyle w:val="Normal"/>
        <w:spacing w:lineRule="auto" w:line="276"/>
        <w:rPr>
          <w:rFonts w:ascii="Arial" w:hAnsi="Arial" w:eastAsia="Times New Roman" w:cs="Arial"/>
          <w:color w:themeColor="accent1" w:val="4F81BD"/>
          <w:sz w:val="20"/>
          <w:szCs w:val="20"/>
          <w:lang w:eastAsia="en-CA"/>
        </w:rPr>
      </w:pPr>
      <w:r>
        <w:rPr>
          <w:rFonts w:eastAsia="Times New Roman" w:cs="Arial" w:ascii="Arial" w:hAnsi="Arial"/>
          <w:color w:themeColor="accent1" w:val="4F81BD"/>
          <w:sz w:val="20"/>
          <w:szCs w:val="20"/>
          <w:lang w:eastAsia="en-CA"/>
        </w:rPr>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For clinical trials included in Section 5, provide a brief overview of the study including a study description (e.g., study name, key design features,</w:t>
      </w:r>
      <w:r>
        <w:rPr>
          <w:color w:val="C00000"/>
        </w:rPr>
        <w:t xml:space="preserve"> </w:t>
      </w:r>
      <w:r>
        <w:rPr>
          <w:rFonts w:eastAsia="Times New Roman" w:cs="Arial" w:ascii="Arial" w:hAnsi="Arial"/>
          <w:color w:val="C00000"/>
          <w:sz w:val="20"/>
          <w:szCs w:val="20"/>
          <w:lang w:eastAsia="en-CA"/>
        </w:rPr>
        <w:t>patient type, sample size (N), locations including number of sites in Canada, intervention, and comparator). </w:t>
      </w:r>
    </w:p>
    <w:p>
      <w:pPr>
        <w:pStyle w:val="Subheadinglvl1Working"/>
        <w:rPr/>
      </w:pPr>
      <w:r>
        <w:rPr/>
        <w:t>Eligibility criteria</w:t>
      </w:r>
    </w:p>
    <w:p>
      <w:pPr>
        <w:pStyle w:val="BodyCopyWorking"/>
        <w:keepNext w:val="0"/>
      </w:pPr>
      <w:sdt>
        <w:sdtPr>
          <w:alias w:val="Completed response — Not reported in the supplied CSR: no additional study report is p"/>
          <w:id w:val="1900000090"/>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 xml:space="preserve">For clinical trials included in Section 5, briefly describe the inclusion and exclusion criteria. </w:t>
      </w:r>
      <w:r>
        <w:rPr>
          <w:rStyle w:val="normaltextrun"/>
          <w:rFonts w:cs="Arial" w:ascii="Arial" w:hAnsi="Arial"/>
          <w:color w:val="C00000"/>
          <w:sz w:val="20"/>
          <w:szCs w:val="20"/>
          <w:shd w:fill="FFFFFF" w:val="clear"/>
        </w:rPr>
        <w:t>Emphasize any key inclusion/exclusion criteria that are of importance to the condition or may identify a niche patient population.</w:t>
      </w:r>
      <w:r>
        <w:rPr>
          <w:rStyle w:val="eop"/>
          <w:rFonts w:cs="Arial" w:ascii="Arial" w:hAnsi="Arial"/>
          <w:color w:val="C00000"/>
          <w:sz w:val="20"/>
          <w:szCs w:val="20"/>
          <w:shd w:fill="FFFFFF" w:val="clear"/>
        </w:rPr>
        <w:t> </w:t>
      </w:r>
    </w:p>
    <w:p>
      <w:pPr>
        <w:pStyle w:val="Subheadinglvl1Working"/>
        <w:rPr/>
      </w:pPr>
      <w:r>
        <w:rPr/>
        <w:t>Interventions</w:t>
      </w:r>
    </w:p>
    <w:p>
      <w:pPr>
        <w:pStyle w:val="BodyCopyWorking"/>
        <w:keepNext w:val="0"/>
      </w:pPr>
      <w:sdt>
        <w:sdtPr>
          <w:alias w:val="Completed response — Not reported in the supplied CSR: no additional study report is p"/>
          <w:id w:val="1900000091"/>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For clinical trials included in Section 5, briefly describe the interventions and comparators (if relevant) used in each study and use of concomitant medications and/or treatments. </w:t>
      </w:r>
    </w:p>
    <w:p>
      <w:pPr>
        <w:pStyle w:val="Subheadinglvl1Working"/>
        <w:rPr/>
      </w:pPr>
      <w:r>
        <w:rPr/>
        <w:t>Outcomes</w:t>
      </w:r>
    </w:p>
    <w:p>
      <w:pPr>
        <w:pStyle w:val="BodyCopyWorking"/>
        <w:keepNext w:val="0"/>
      </w:pPr>
      <w:sdt>
        <w:sdtPr>
          <w:alias w:val="Completed response — Not reported in the supplied CSR: no additional study report is p"/>
          <w:id w:val="1900000092"/>
        </w:sdtPr>
        <w:sdtContent>
          <w:r>
            <w:rPr>
              <w:rFonts w:ascii="Arial" w:hAnsi="Arial"/>
              <w:color w:val="000000"/>
              <w:sz w:val="20"/>
            </w:rPr>
            <w:t>Not reported in the supplied CSR: no additional study report is provided for this field. (CSR pp. 1, 32, 35-36.)</w:t>
          </w:r>
        </w:sdtContent>
      </w:sdt>
    </w:p>
    <w:p>
      <w:pPr>
        <w:pStyle w:val="Subheadinglvl1Working"/>
        <w:spacing w:lineRule="auto" w:line="276"/>
        <w:rPr>
          <w:color w:val="C00000"/>
          <w:sz w:val="20"/>
          <w:szCs w:val="20"/>
        </w:rPr>
      </w:pPr>
      <w:r>
        <w:rPr>
          <w:color w:val="C00000"/>
          <w:sz w:val="20"/>
          <w:szCs w:val="20"/>
        </w:rPr>
        <w:t xml:space="preserve">Provide a brief summary of the efficacy and safety outcomes that will be included in this summary, with a focus on those outcomes that </w:t>
      </w:r>
      <w:r>
        <w:rPr>
          <w:rFonts w:eastAsia="Times New Roman"/>
          <w:color w:val="C00000"/>
          <w:sz w:val="20"/>
          <w:szCs w:val="20"/>
          <w:lang w:eastAsia="en-CA"/>
        </w:rPr>
        <w:t>fill gaps in pivotal and phase 3 clinical trial evidence. </w:t>
      </w:r>
    </w:p>
    <w:p>
      <w:pPr>
        <w:pStyle w:val="Subheadinglvl1Working"/>
        <w:rPr/>
      </w:pPr>
      <w:r>
        <w:rPr/>
        <w:t>Statistical analysis</w:t>
      </w:r>
    </w:p>
    <w:p>
      <w:pPr>
        <w:pStyle w:val="BodyCopyWorking"/>
        <w:keepNext w:val="0"/>
      </w:pPr>
      <w:sdt>
        <w:sdtPr>
          <w:alias w:val="Completed response — Not reported in the supplied CSR: no additional study report is p"/>
          <w:id w:val="1900000093"/>
        </w:sdtPr>
        <w:sdtContent>
          <w:r>
            <w:rPr>
              <w:rFonts w:ascii="Arial" w:hAnsi="Arial"/>
              <w:color w:val="000000"/>
              <w:sz w:val="20"/>
            </w:rPr>
            <w:t>Not reported in the supplied CSR: no additional study report is provided for this field. (CSR pp. 1, 32, 35-36.)</w:t>
          </w:r>
        </w:sdtContent>
      </w:sdt>
    </w:p>
    <w:p>
      <w:pPr>
        <w:pStyle w:val="Subheadinglvl1Working"/>
        <w:rPr>
          <w:color w:val="C00000"/>
          <w:sz w:val="20"/>
          <w:szCs w:val="20"/>
        </w:rPr>
      </w:pPr>
      <w:r>
        <w:rPr>
          <w:color w:val="C00000"/>
          <w:sz w:val="20"/>
          <w:szCs w:val="20"/>
        </w:rPr>
        <w:t>Provide a brief summary of the key components of any statistical analyses.</w:t>
      </w:r>
    </w:p>
    <w:p>
      <w:pPr>
        <w:pStyle w:val="Headinglvl1Working"/>
        <w:rPr/>
      </w:pPr>
      <w:bookmarkStart w:id="153" w:name="_Toc216182122"/>
      <w:bookmarkStart w:id="154" w:name="_Toc93475849"/>
      <w:bookmarkStart w:id="155" w:name="__RefHeading___Toc6202_3477833118"/>
      <w:bookmarkEnd w:id="155"/>
      <w:r>
        <w:rPr/>
        <w:t>Patient Population</w:t>
      </w:r>
      <w:bookmarkEnd w:id="153"/>
      <w:bookmarkEnd w:id="154"/>
    </w:p>
    <w:p>
      <w:pPr>
        <w:pStyle w:val="Subheadinglvl1Working"/>
        <w:rPr/>
      </w:pPr>
      <w:r>
        <w:rPr/>
        <w:t>Baseline characteristics</w:t>
      </w:r>
    </w:p>
    <w:p>
      <w:pPr>
        <w:pStyle w:val="BodyCopyWorking"/>
        <w:keepNext w:val="0"/>
      </w:pPr>
      <w:sdt>
        <w:sdtPr>
          <w:alias w:val="Completed response — Not reported in the supplied CSR: no additional study report is p"/>
          <w:id w:val="1900000094"/>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Summarize relevant baseline demographic and clinical characteristics of each study using a table (example below). Where multiple clinical trials of the same design have been included in a subsection, this information can be summarized in a single table. Indicate in the table which analysis set the baseline characteristics have been summarized for (e.g., FAS set).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discrete data please report as n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continuous data please report the mean (SD); where continuous data are skewed also report the median (IQR or range)</w:t>
      </w:r>
    </w:p>
    <w:p>
      <w:pPr>
        <w:pStyle w:val="Normal"/>
        <w:spacing w:lineRule="auto" w:line="276"/>
        <w:rPr>
          <w:rFonts w:ascii="Arial" w:hAnsi="Arial" w:cs="Arial"/>
          <w:color w:val="C00000"/>
          <w:sz w:val="20"/>
          <w:szCs w:val="20"/>
        </w:rPr>
      </w:pPr>
      <w:r>
        <w:rPr>
          <w:rFonts w:cs="Arial" w:ascii="Arial" w:hAnsi="Arial"/>
          <w:color w:val="C00000"/>
          <w:sz w:val="20"/>
          <w:szCs w:val="20"/>
        </w:rPr>
        <w:t>More than one table can be created if all studies do not fit in a single table.</w:t>
      </w:r>
    </w:p>
    <w:p>
      <w:pPr>
        <w:pStyle w:val="TableTitleCADTH"/>
        <w:spacing w:before="240" w:after="0"/>
        <w:rPr/>
      </w:pPr>
      <w:r>
        <w:rPr>
          <w:rFonts w:cs="Arial"/>
          <w:color w:val="auto"/>
          <w:sz w:val="20"/>
          <w:szCs w:val="20"/>
        </w:rPr>
      </w:r>
      <w:r>
        <w:rPr>
          <w:rFonts w:cs="Arial"/>
          <w:b w:val="false"/>
          <w:bCs/>
          <w:color w:val="auto"/>
          <w:sz w:val="20"/>
          <w:szCs w:val="20"/>
        </w:rPr>
      </w:r>
      <w:r>
        <w:rPr>
          <w:color w:val="auto"/>
          <w:sz w:val="20"/>
          <w:szCs w:val="20"/>
        </w:rPr>
      </w:r>
      <w:r>
        <w:t>Table 27: Summary of Baseline Characteristics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cantSplit/>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cantSplit/>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baseline characteristics — Study 1 treatment 1"/>
                <w:id w:val="1427467093"/>
              </w:sdtPr>
              <w:sdtContent>
                <w:r>
                  <w:rPr>
                    <w:rFonts w:ascii="Arial" w:hAnsi="Arial" w:cs="Arial"/>
                    <w:sz w:val="18"/>
                    <w:color w:val="000000"/>
                  </w:rPr>
                  <w:t xml:space="preserve">Not reported in the supplied CSR: no additional study report is provided for this field. (CSR pp. 1, 32, 35-36.)</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1 treatment 1 sample size"/>
                <w:id w:val="579985683"/>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bCs/>
                <w:color w:themeColor="text1" w:themeTint="f2" w:val="0D0D0D"/>
                <w:szCs w:val="18"/>
              </w:rPr>
              <w:t>)</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baseline characteristics — Study 1 treatment 2"/>
                <w:id w:val="1836536024"/>
              </w:sdtPr>
              <w:sdtContent>
                <w:r>
                  <w:rPr>
                    <w:rFonts w:ascii="Arial" w:hAnsi="Arial" w:cs="Arial"/>
                    <w:sz w:val="18"/>
                    <w:color w:val="000000"/>
                  </w:rPr>
                  <w:t xml:space="preserve">Not reported in the supplied CSR: no additional study report is provided for this field. (CSR pp. 1, 32, 35-36.)</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1 treatment 2 sample size"/>
                <w:id w:val="1704333009"/>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bCs/>
                <w:color w:themeColor="text1" w:themeTint="f2" w:val="0D0D0D"/>
                <w:szCs w:val="18"/>
              </w:rPr>
              <w:t>)</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Other-design study — baseline characteristics — Study 2 treatment 1"/>
                <w:id w:val="91697836"/>
              </w:sdtPr>
              <w:sdtContent>
                <w:r>
                  <w:rPr>
                    <w:rFonts w:ascii="Arial" w:hAnsi="Arial" w:cs="Arial"/>
                    <w:sz w:val="18"/>
                    <w:color w:val="000000"/>
                  </w:rPr>
                  <w:t xml:space="preserve">Not reported in the supplied CSR: no additional study report is provided for this field. (CSR pp. 1, 32, 35-36.)</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2 treatment 1 sample size"/>
                <w:id w:val="1985125782"/>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bCs/>
                <w:color w:themeColor="text1" w:themeTint="f2" w:val="0D0D0D"/>
                <w:szCs w:val="18"/>
              </w:rPr>
              <w:t>)</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Other-design study — baseline characteristics — Study 2 treatment 2"/>
                <w:id w:val="1019899323"/>
              </w:sdtPr>
              <w:sdtContent>
                <w:r>
                  <w:rPr>
                    <w:rFonts w:ascii="Arial" w:hAnsi="Arial" w:cs="Arial"/>
                    <w:sz w:val="18"/>
                    <w:color w:val="000000"/>
                  </w:rPr>
                  <w:t xml:space="preserve">Not reported in the supplied CSR: no additional study report is provided for this field. (CSR pp. 1, 32, 35-36.)</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 = )</w:t>
            </w:r>
            <w:sdt>
              <w:sdtPr>
                <w:alias w:val="Other-design study — baseline characteristics — Study 2 treatment 2 sample size"/>
                <w:id w:val="356300774"/>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bCs/>
                <w:color w:themeColor="text1" w:themeTint="f2" w:val="0D0D0D"/>
                <w:szCs w:val="18"/>
              </w:rPr>
              <w:t xml:space="preserve"> </w:t>
            </w:r>
          </w:p>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name"/>
              <w:id w:val="189550551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1"/>
              <w:id w:val="51402803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2"/>
              <w:id w:val="1598447578"/>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1"/>
              <w:id w:val="127656999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2"/>
              <w:id w:val="275205492"/>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name"/>
              <w:id w:val="1245672051"/>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1"/>
              <w:id w:val="107795866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2"/>
              <w:id w:val="862451464"/>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1"/>
              <w:id w:val="1917924410"/>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2"/>
              <w:id w:val="215940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cantSplit/>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name"/>
              <w:id w:val="1405499924"/>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1"/>
              <w:id w:val="59736188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2"/>
              <w:id w:val="101033616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1"/>
              <w:id w:val="206356591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2"/>
              <w:id w:val="1031379371"/>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Patient disposition</w:t>
      </w:r>
    </w:p>
    <w:p>
      <w:pPr>
        <w:pStyle w:val="BodyCopyWorking"/>
        <w:keepNext w:val="0"/>
      </w:pPr>
      <w:sdt>
        <w:sdtPr>
          <w:alias w:val="Completed response — Not reported in the supplied CSR: no additional study report is p"/>
          <w:id w:val="1900000095"/>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Summarize patient disposition for each additional study using a summary table (if appropriate). </w:t>
      </w:r>
      <w:r>
        <w:rPr>
          <w:rFonts w:eastAsia="Times New Roman" w:cs="Arial" w:ascii="Arial" w:hAnsi="Arial"/>
          <w:color w:val="C00000"/>
          <w:sz w:val="20"/>
          <w:szCs w:val="20"/>
          <w:lang w:eastAsia="en-CA"/>
        </w:rPr>
        <w:t>Where multiple clinical trials of the same design have been included in a subsection, this information can be summarized in a single table.</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Exposure to Interventions</w:t>
      </w:r>
    </w:p>
    <w:p>
      <w:pPr>
        <w:pStyle w:val="Subheadinglvl2Working"/>
        <w:rPr/>
      </w:pPr>
      <w:r>
        <w:rPr/>
        <w:t>Study treatments</w:t>
      </w:r>
    </w:p>
    <w:p>
      <w:pPr>
        <w:pStyle w:val="InstructionsWorking"/>
        <w:numPr>
          <w:ilvl w:val="0"/>
          <w:numId w:val="0"/>
        </w:numPr>
        <w:ind w:hanging="0" w:start="0"/>
        <w:rPr>
          <w:sz w:val="20"/>
          <w:szCs w:val="20"/>
        </w:rPr>
      </w:pPr>
      <w:r>
        <w:rPr>
          <w:sz w:val="20"/>
          <w:szCs w:val="20"/>
        </w:rPr>
        <w:t xml:space="preserve">Summarize exposure using a table (example provided below). Within the text, please describe any discrepancies between treatment groups. Include information on adherence to treatment where relevant. </w:t>
      </w:r>
      <w:r>
        <w:rPr>
          <w:rFonts w:eastAsia="Times New Roman"/>
          <w:sz w:val="20"/>
          <w:szCs w:val="20"/>
          <w:lang w:eastAsia="en-CA"/>
        </w:rPr>
        <w:t>Where multiple clinical trials of the same design have been included in a subsection, this information can be summarized in a single table.</w:t>
      </w:r>
    </w:p>
    <w:p>
      <w:pPr>
        <w:pStyle w:val="TableTitleCADTH"/>
        <w:spacing w:lineRule="auto" w:line="360" w:before="240" w:after="0"/>
        <w:rPr>
          <w:rFonts w:cs="Arial"/>
          <w:color w:val="auto"/>
          <w:sz w:val="20"/>
          <w:szCs w:val="20"/>
        </w:rPr>
      </w:pPr>
      <w:r>
        <w:rPr>
          <w:rFonts w:cs="Arial"/>
          <w:color w:val="auto"/>
          <w:sz w:val="20"/>
          <w:szCs w:val="20"/>
        </w:rPr>
      </w:r>
      <w:r>
        <w:t>Table 28: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cantSpli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1 treatment 1"/>
                <w:id w:val="1834766682"/>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1 treatment 1 sample size"/>
                <w:id w:val="54678570"/>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1 treatment 2"/>
                <w:id w:val="194116649"/>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1 treatment 2 sample size"/>
                <w:id w:val="601062290"/>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2 treatment 1"/>
                <w:id w:val="1227791623"/>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2 treatment 1 sample size"/>
                <w:id w:val="46763209"/>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2 treatment 2"/>
                <w:id w:val="1481873822"/>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Other-design study — patient exposure — Study 2 treatment 2 sample size"/>
                <w:id w:val="23703140"/>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1"/>
              <w:id w:val="67556160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2"/>
              <w:id w:val="854506818"/>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1"/>
              <w:id w:val="157302519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2"/>
              <w:id w:val="76314637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1"/>
              <w:id w:val="2090488996"/>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2"/>
              <w:id w:val="24393084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1"/>
              <w:id w:val="134665753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2"/>
              <w:id w:val="1355495822"/>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1"/>
              <w:id w:val="147168996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2"/>
              <w:id w:val="179500513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1"/>
              <w:id w:val="1649833708"/>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2"/>
              <w:id w:val="86533205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1"/>
              <w:id w:val="38905513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2"/>
              <w:id w:val="597889712"/>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1"/>
              <w:id w:val="1290928538"/>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2"/>
              <w:id w:val="1733181354"/>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p>
      <w:pPr>
        <w:pStyle w:val="BodyCopyWorking"/>
        <w:keepNext w:val="0"/>
      </w:pPr>
      <w:sdt>
        <w:sdtPr>
          <w:alias w:val="Completed response — Not reported in the supplied CSR: no additional study report is p"/>
          <w:id w:val="1900000096"/>
        </w:sdtPr>
        <w:sdtContent>
          <w:r>
            <w:rPr>
              <w:rFonts w:ascii="Arial" w:hAnsi="Arial"/>
              <w:color w:val="000000"/>
              <w:sz w:val="20"/>
            </w:rPr>
            <w:t>Not reported in the supplied CSR: no additional study report is provided for this field. (CSR pp. 1, 32, 35-36.)</w:t>
          </w:r>
        </w:sdtContent>
      </w:sdt>
    </w:p>
    <w:p>
      <w:pPr>
        <w:pStyle w:val="InstructionsWorking"/>
        <w:numPr>
          <w:ilvl w:val="0"/>
          <w:numId w:val="0"/>
        </w:numPr>
        <w:ind w:hanging="0" w:start="0"/>
        <w:rPr>
          <w:sz w:val="20"/>
          <w:szCs w:val="20"/>
        </w:rPr>
      </w:pPr>
      <w:r>
        <w:rPr>
          <w:sz w:val="20"/>
          <w:szCs w:val="20"/>
        </w:rPr>
        <w:t xml:space="preserve">Provide a table summarizing relevant concomitant medications used during the studies. </w:t>
      </w:r>
    </w:p>
    <w:p>
      <w:pPr>
        <w:pStyle w:val="InstructionsWorking"/>
        <w:numPr>
          <w:ilvl w:val="0"/>
          <w:numId w:val="0"/>
        </w:numPr>
        <w:ind w:hanging="0" w:start="0"/>
        <w:rPr>
          <w:sz w:val="20"/>
          <w:szCs w:val="20"/>
        </w:rPr>
      </w:pPr>
      <w:r>
        <w:rPr>
          <w:sz w:val="20"/>
          <w:szCs w:val="20"/>
        </w:rPr>
        <w:t xml:space="preserve">Within the text, describe any concomitant medications or cointerventions required or permitted during the study. If concomitant medication doses were lowered or treatment stopped, describe the schedule as applicable (e.g., tapering corticosteroids). </w:t>
      </w:r>
    </w:p>
    <w:p>
      <w:pPr>
        <w:pStyle w:val="Subheadinglvl2Working"/>
        <w:rPr/>
      </w:pPr>
      <w:r>
        <w:rPr/>
        <w:t>Subsequent treatment (if applicable)</w:t>
      </w:r>
    </w:p>
    <w:p>
      <w:pPr>
        <w:pStyle w:val="Normal"/>
        <w:spacing w:lineRule="auto" w:line="276"/>
        <w:rPr>
          <w:rFonts w:ascii="Arial" w:hAnsi="Arial" w:cs="Arial"/>
          <w:color w:val="C00000"/>
          <w:sz w:val="20"/>
          <w:szCs w:val="20"/>
        </w:rPr>
      </w:pPr>
      <w:r>
        <w:rPr>
          <w:rFonts w:cs="Arial" w:ascii="Arial" w:hAnsi="Arial"/>
          <w:color w:val="C00000"/>
          <w:sz w:val="20"/>
          <w:szCs w:val="20"/>
        </w:rPr>
        <w:t>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r>
      <w:r>
        <w:t>Table 29: Sample Table for Subsequent Treatment</w:t>
      </w:r>
    </w:p>
    <w:tbl>
      <w:tblPr>
        <w:tblW w:w="10277"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89"/>
        <w:gridCol w:w="1588"/>
        <w:gridCol w:w="1673"/>
        <w:gridCol w:w="1812"/>
        <w:gridCol w:w="1815"/>
      </w:tblGrid>
      <w:tr>
        <w:trPr>
          <w:trHeight w:val="90" w:hRule="atLeast"/>
          <w:cantSplit/>
        </w:trPr>
        <w:tc>
          <w:tcPr>
            <w:tcW w:w="3389"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cantSplit/>
        </w:trPr>
        <w:tc>
          <w:tcPr>
            <w:tcW w:w="3389"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1 treatment 1"/>
                <w:id w:val="1342977823"/>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1 treatment 1 sample size"/>
                <w:id w:val="2091568375"/>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1 treatment 2"/>
                <w:id w:val="853764126"/>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1 treatment 2 sample size"/>
                <w:id w:val="1834059550"/>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2 treatment 1"/>
                <w:id w:val="1061093961"/>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2 treatment 1 sample size"/>
                <w:id w:val="504541961"/>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2 treatment 2"/>
                <w:id w:val="684564564"/>
              </w:sdtPr>
              <w:sdtContent>
                <w:r>
                  <w:rPr>
                    <w:rFonts w:ascii="Arial" w:hAnsi="Arial" w:cs="Arial"/>
                    <w:sz w:val="18"/>
                    <w:color w:val="000000"/>
                  </w:rPr>
                  <w:t xml:space="preserve">Not reported in the supplied CSR: no additional study report is provided for this field. (CSR pp. 1, 32, 35-36.)</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Other-design study — subsequent treatment — Study 2 treatment 2 sample size"/>
                <w:id w:val="1102746211"/>
              </w:sdtPr>
              <w:sdtContent>
                <w:r>
                  <w:rPr>
                    <w:rFonts w:ascii="Arial" w:hAnsi="Arial" w:cs="Arial"/>
                    <w:sz w:val="18"/>
                    <w:color w:val="000000"/>
                  </w:rPr>
                  <w:t xml:space="preserve">Not reported in the supplied CSR: no additional study report is provided for this field. (CSR pp. 1, 32, 35-36.)</w:t>
                </w:r>
              </w:sdtContent>
            </w:sdt>
            <w:r>
              <w:rPr>
                <w:rFonts w:eastAsia="MS Mincho" w:cs="Arial" w:ascii="Arial" w:hAnsi="Arial"/>
                <w:b/>
                <w:bCs/>
                <w:color w:themeColor="text1" w:themeTint="f2" w:val="0D0D0D"/>
                <w:sz w:val="18"/>
                <w:szCs w:val="18"/>
              </w:rPr>
              <w:t xml:space="preserve"> </w:t>
            </w:r>
          </w:p>
        </w:tc>
      </w:tr>
      <w:tr>
        <w:trPr>
          <w:trHeight w:val="90" w:hRule="atLeast"/>
          <w:cantSpli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1"/>
              <w:id w:val="76082714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2"/>
              <w:id w:val="192844318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1"/>
              <w:id w:val="607463740"/>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2"/>
              <w:id w:val="796055083"/>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Other-design study — subsequent treatment — therapy 1 name"/>
                <w:id w:val="286853833"/>
              </w:sdtPr>
              <w:sdtContent>
                <w:r>
                  <w:rPr>
                    <w:rFonts w:ascii="Arial" w:hAnsi="Arial" w:cs="Arial"/>
                    <w:sz w:val="18"/>
                    <w:color w:val="000000"/>
                  </w:rPr>
                  <w:t xml:space="preserve">Not reported in the supplied CSR: no additional study report is provided for this field. (CSR pp. 1, 32,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1"/>
              <w:id w:val="1772665119"/>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2"/>
              <w:id w:val="2030648041"/>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1"/>
              <w:id w:val="695583554"/>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2"/>
              <w:id w:val="56421784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Other-design study — subsequent treatment — therapy 2 name"/>
                <w:id w:val="807513333"/>
              </w:sdtPr>
              <w:sdtContent>
                <w:r>
                  <w:rPr>
                    <w:rFonts w:ascii="Arial" w:hAnsi="Arial" w:cs="Arial"/>
                    <w:sz w:val="18"/>
                    <w:color w:val="000000"/>
                  </w:rPr>
                  <w:t xml:space="preserve">Not reported in the supplied CSR: no additional study report is provided for this field. (CSR pp. 1, 32,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1"/>
              <w:id w:val="2090568739"/>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2"/>
              <w:id w:val="1720141317"/>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1"/>
              <w:id w:val="701151610"/>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2"/>
              <w:id w:val="1674083465"/>
            </w:sdtPr>
            <w:sdtContent>
              <w:p>
                <w:pPr>
                  <w:pStyle w:val="BodyCopyWorking"/>
                </w:pPr>
                <w:r>
                  <w:rPr>
                    <w:rFonts w:ascii="Arial" w:hAnsi="Arial" w:cs="Arial"/>
                    <w:sz w:val="18"/>
                    <w:color w:val="000000"/>
                  </w:rPr>
                  <w:t xml:space="preserve">Not reported in the supplied CSR: no additional study report is provided for this field. (CSR pp. 1, 32, 35-36.)</w:t>
                </w:r>
              </w:p>
            </w:sdtContent>
          </w:sdt>
        </w:tc>
      </w:tr>
      <w:tr>
        <w:trPr>
          <w:trHeight w:val="90" w:hRule="atLeast"/>
          <w:cantSpli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Add rows as required </w:t>
            </w:r>
          </w:p>
          <w:p>
            <w:pPr>
              <w:keepNext w:val="0"/>
            </w:pPr>
            <w:sdt>
              <w:sdtPr>
                <w:alias w:val="Completed response — Not reported in the supplied CSR: no additional study report is p"/>
                <w:id w:val="1900000097"/>
              </w:sdtPr>
              <w:sdtContent>
                <w:r>
                  <w:rPr>
                    <w:rFonts w:ascii="Arial" w:hAnsi="Arial"/>
                    <w:color w:val="000000"/>
                    <w:sz w:val="18"/>
                  </w:rPr>
                  <w:t>Not reported in the supplied CSR: no additional study report is provided for this field. (CSR pp. 1, 32, 35-36.)</w:t>
                </w:r>
              </w:sdtContent>
            </w:sdt>
          </w:p>
        </w:tc>
        <w:tc>
          <w:tcPr>
            <w:tcW w:w="1588"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p>
            <w:pPr>
              <w:keepNext w:val="0"/>
            </w:pPr>
            <w:sdt>
              <w:sdtPr>
                <w:alias w:val="Completed response — Not reported in the supplied CSR: no additional study report is p"/>
                <w:id w:val="1900000098"/>
              </w:sdtPr>
              <w:sdtContent>
                <w:r>
                  <w:rPr>
                    <w:rFonts w:ascii="Arial" w:hAnsi="Arial"/>
                    <w:color w:val="000000"/>
                    <w:sz w:val="18"/>
                  </w:rPr>
                  <w:t>Not reported in the supplied CSR: no additional study report is provided for this field. (CSR pp. 1, 32, 35-36.)</w:t>
                </w:r>
              </w:sdtContent>
            </w:sdt>
          </w:p>
        </w:tc>
        <w:tc>
          <w:tcPr>
            <w:tcW w:w="1673"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p>
            <w:pPr>
              <w:keepNext w:val="0"/>
            </w:pPr>
            <w:sdt>
              <w:sdtPr>
                <w:alias w:val="Completed response — Not reported in the supplied CSR: no additional study report is p"/>
                <w:id w:val="1900000099"/>
              </w:sdtPr>
              <w:sdtContent>
                <w:r>
                  <w:rPr>
                    <w:rFonts w:ascii="Arial" w:hAnsi="Arial"/>
                    <w:color w:val="000000"/>
                    <w:sz w:val="18"/>
                  </w:rPr>
                  <w:t>Not reported in the supplied CSR: no additional study report is provided for this field. (CSR pp. 1, 32, 35-36.)</w:t>
                </w:r>
              </w:sdtContent>
            </w:sdt>
          </w:p>
        </w:tc>
        <w:tc>
          <w:tcPr>
            <w:tcW w:w="1812"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p>
            <w:pPr>
              <w:keepNext w:val="0"/>
            </w:pPr>
            <w:sdt>
              <w:sdtPr>
                <w:alias w:val="Completed response — Not reported in the supplied CSR: no additional study report is p"/>
                <w:id w:val="1900000100"/>
              </w:sdtPr>
              <w:sdtContent>
                <w:r>
                  <w:rPr>
                    <w:rFonts w:ascii="Arial" w:hAnsi="Arial"/>
                    <w:color w:val="000000"/>
                    <w:sz w:val="18"/>
                  </w:rPr>
                  <w:t>Not reported in the supplied CSR: no additional study report is provided for this field. (CSR pp. 1, 32, 35-36.)</w:t>
                </w:r>
              </w:sdtContent>
            </w:sdt>
          </w:p>
        </w:tc>
        <w:tc>
          <w:tcPr>
            <w:tcW w:w="1815"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p>
            <w:pPr>
              <w:keepNext w:val="0"/>
            </w:pPr>
            <w:sdt>
              <w:sdtPr>
                <w:alias w:val="Completed response — Not reported in the supplied CSR: no additional study report is p"/>
                <w:id w:val="1900000101"/>
              </w:sdtPr>
              <w:sdtContent>
                <w:r>
                  <w:rPr>
                    <w:rFonts w:ascii="Arial" w:hAnsi="Arial"/>
                    <w:color w:val="000000"/>
                    <w:sz w:val="18"/>
                  </w:rPr>
                  <w:t>Not reported in the supplied CSR: no additional study report is provided for this field. (CSR pp. 1, 32, 35-36.)</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56" w:name="_Toc93475850"/>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57" w:name="_Toc216182123"/>
      <w:bookmarkStart w:id="158" w:name="__RefHeading___Toc6200_3477833118"/>
      <w:bookmarkEnd w:id="158"/>
      <w:r>
        <w:rPr/>
        <w:t>Results</w:t>
      </w:r>
      <w:bookmarkEnd w:id="157"/>
      <w:bookmarkEnd w:id="156"/>
    </w:p>
    <w:p>
      <w:pPr>
        <w:pStyle w:val="Subheadinglvl1Working"/>
        <w:rPr/>
      </w:pPr>
      <w:r>
        <w:rPr/>
        <w:t>Efficacy</w:t>
      </w:r>
    </w:p>
    <w:p>
      <w:pPr>
        <w:pStyle w:val="BodyCopyWorking"/>
        <w:keepNext w:val="0"/>
      </w:pPr>
      <w:sdt>
        <w:sdtPr>
          <w:alias w:val="Completed response — Not reported in the supplied CSR: no additional study report is p"/>
          <w:id w:val="1900000102"/>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Present the efficacy outcomes in a table or figure, highlighting only key results in the text. For all analyses clearly define when the baseline assessments were performed (e.g., at the outset of the parent study or the beginning of the extension study).</w:t>
      </w:r>
    </w:p>
    <w:p>
      <w:pPr>
        <w:pStyle w:val="Subheadinglvl2Working"/>
        <w:rPr/>
      </w:pPr>
      <w:r>
        <w:rPr/>
        <w:t>Efficacy endpoint 1</w:t>
      </w:r>
    </w:p>
    <w:p>
      <w:pPr>
        <w:pStyle w:val="Normal"/>
        <w:spacing w:lineRule="auto" w:line="276"/>
        <w:rPr>
          <w:color w:val="C00000"/>
        </w:rPr>
      </w:pPr>
      <w:r>
        <w:rPr>
          <w:rFonts w:cs="Arial" w:ascii="Arial" w:hAnsi="Arial"/>
          <w:color w:val="C00000"/>
          <w:sz w:val="20"/>
          <w:szCs w:val="20"/>
        </w:rPr>
        <w:t xml:space="preserve">Please use a separate subheading for each endpoint. </w:t>
      </w:r>
    </w:p>
    <w:p>
      <w:pPr>
        <w:pStyle w:val="Subheadinglvl2Working"/>
        <w:rPr/>
      </w:pPr>
      <w:sdt>
        <w:sdtPr>
          <w:alias w:val="Other-design results — efficacy endpoint 2 heading"/>
          <w:id w:val="41185733"/>
        </w:sdtPr>
        <w:sdtContent>
          <w:r>
            <w:rPr>
              <w:rFonts w:ascii="Arial" w:hAnsi="Arial" w:cs="Arial"/>
              <w:sz w:val="20"/>
              <w:color w:val="000000"/>
            </w:rPr>
            <w:t xml:space="preserve">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2Working"/>
        <w:rPr/>
      </w:pPr>
      <w:sdt>
        <w:sdtPr>
          <w:alias w:val="Other-design results — efficacy endpoint 3 heading"/>
          <w:id w:val="354599696"/>
        </w:sdtPr>
        <w:sdtContent>
          <w:r>
            <w:rPr>
              <w:rFonts w:ascii="Arial" w:hAnsi="Arial" w:cs="Arial"/>
              <w:sz w:val="20"/>
              <w:color w:val="000000"/>
            </w:rPr>
            <w:t xml:space="preserve">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BodyCopyWorking"/>
        <w:keepNext w:val="0"/>
      </w:pPr>
      <w:sdt>
        <w:sdtPr>
          <w:alias w:val="Completed response — Not reported in the supplied CSR: no additional study report is p"/>
          <w:id w:val="1900000103"/>
        </w:sdtPr>
        <w:sdtContent>
          <w:r>
            <w:rPr>
              <w:rFonts w:ascii="Arial" w:hAnsi="Arial"/>
              <w:color w:val="000000"/>
              <w:sz w:val="20"/>
            </w:rPr>
            <w:t>Not reported in the supplied CSR: no additional study report is provided for this field. (CSR pp. 1, 32, 35-36.)</w:t>
          </w:r>
        </w:sdtContent>
      </w:sdt>
    </w:p>
    <w:p>
      <w:pPr>
        <w:pStyle w:val="Subheadinglvl1Working"/>
        <w:rPr/>
      </w:pPr>
      <w:r>
        <w:rPr/>
        <w:t>Harms</w:t>
      </w:r>
    </w:p>
    <w:p>
      <w:pPr>
        <w:pStyle w:val="BodyCopyWorking"/>
        <w:keepNext w:val="0"/>
      </w:pPr>
      <w:sdt>
        <w:sdtPr>
          <w:alias w:val="Completed response — Not reported in the supplied CSR: no additional study report is p"/>
          <w:id w:val="1900000104"/>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bookmarkStart w:id="159" w:name="_Toc93475851"/>
      <w:r>
        <w:rPr>
          <w:rFonts w:cs="Arial" w:ascii="Arial" w:hAnsi="Arial"/>
          <w:color w:val="C00000"/>
          <w:sz w:val="20"/>
          <w:szCs w:val="20"/>
        </w:rPr>
        <w:t>Present the safety outcomes in a table and summarize key findings in the text. Include AEs, SAEs, WDAEs, deaths, and adverse events of special interest. Make sure to use data from treatment-emergent adverse events.</w:t>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t>Studies of Other Design</w:t>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If multiple studies of other designs are included in Section 5, report the format below for each study sequentially. Modify the heading as appropriate (e.g., Real-World Evidence).</w:t>
      </w:r>
    </w:p>
    <w:p>
      <w:pPr>
        <w:pStyle w:val="Normal"/>
        <w:spacing w:lineRule="auto" w:line="360"/>
        <w:textAlignment w:val="baseline"/>
        <w:rPr>
          <w:rFonts w:ascii="Arial" w:hAnsi="Arial" w:eastAsia="Times New Roman" w:cs="Arial"/>
          <w:color w:themeColor="text1" w:val="000000"/>
          <w:lang w:eastAsia="en-CA"/>
        </w:rPr>
      </w:pPr>
      <w:r>
        <w:rPr>
          <w:rFonts w:eastAsia="Times New Roman" w:cs="Arial" w:ascii="Arial" w:hAnsi="Arial"/>
          <w:color w:themeColor="text1" w:val="000000"/>
          <w:lang w:eastAsia="en-CA"/>
        </w:rPr>
      </w:r>
    </w:p>
    <w:p>
      <w:pPr>
        <w:pStyle w:val="Normal"/>
        <w:spacing w:lineRule="auto" w:line="360"/>
        <w:textAlignment w:val="baseline"/>
        <w:rPr>
          <w:rFonts w:ascii="Segoe UI" w:hAnsi="Segoe UI" w:eastAsia="Times New Roman" w:cs="Segoe UI"/>
          <w:color w:themeColor="text1" w:val="000000"/>
          <w:lang w:eastAsia="en-CA"/>
        </w:rPr>
      </w:pPr>
      <w:r>
        <w:rPr>
          <w:rFonts w:eastAsia="Times New Roman" w:cs="Arial" w:ascii="Arial" w:hAnsi="Arial"/>
          <w:color w:themeColor="text1" w:val="000000"/>
          <w:lang w:eastAsia="en-CA"/>
        </w:rPr>
        <w:t xml:space="preserve">Description of </w:t>
      </w:r>
      <w:sdt>
        <w:sdtPr>
          <w:alias w:val="Other-design study — study ID (results heading)"/>
          <w:id w:val="1400233702"/>
        </w:sdtPr>
        <w:sdtContent>
          <w:r>
            <w:rPr>
              <w:rFonts w:ascii="Arial" w:hAnsi="Arial" w:cs="Arial"/>
              <w:sz w:val="20"/>
              <w:color w:val="000000"/>
            </w:rPr>
            <w:t xml:space="preserve">Not reported in the supplied CSR: no additional study report is provided for this field. (CSR pp. 1, 32, 35-36.)</w:t>
          </w:r>
        </w:sdtContent>
      </w:sdt>
      <w:r>
        <w:rPr>
          <w:rFonts w:eastAsia="Times New Roman" w:cs="Arial" w:ascii="Arial" w:hAnsi="Arial"/>
          <w:color w:themeColor="text1" w:val="000000"/>
          <w:lang w:eastAsia="en-CA"/>
        </w:rPr>
        <w:t> </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Study Design and Objectives</w:t>
      </w:r>
    </w:p>
    <w:p>
      <w:pPr>
        <w:pStyle w:val="BodyCopyWorking"/>
        <w:keepNext w:val="0"/>
      </w:pPr>
      <w:sdt>
        <w:sdtPr>
          <w:alias w:val="Completed response — Not reported in the supplied CSR: no additional study report is p"/>
          <w:id w:val="1900000105"/>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 xml:space="preserve">For studies of other designs included in Section 5 (e.g., observational designs including real-world evidence studies) briefly describe the specific objectives, any prespecified hypotheses, and key elements of study design. Key elements of study design may include setting, locations, and relevant study dates, including periods of recruitment, exposure, follow-up, and data collection. The data source should be specified, including linkages between datasets if relevant. For prospective studies, methods of follow-up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Eligibility criteria</w:t>
      </w:r>
    </w:p>
    <w:p>
      <w:pPr>
        <w:pStyle w:val="BodyCopyWorking"/>
        <w:keepNext w:val="0"/>
      </w:pPr>
      <w:sdt>
        <w:sdtPr>
          <w:alias w:val="Completed response — Not reported in the supplied CSR: no additional study report is p"/>
          <w:id w:val="1900000106"/>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Report the eligibility criteria for participant selection, taking into consideration the specific study design. Provide the sources and methods for selection of participants or case ascertainment (as relevant according to the specific study design). Diagnostic criteria or algorithms used to identify or classify participants or cases should be described. When matching is a design feature, criteria for matching (for example, selecting controls to match to cases)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color w:val="C00000"/>
          <w:sz w:val="20"/>
          <w:szCs w:val="20"/>
          <w:lang w:eastAsia="en-CA"/>
        </w:rPr>
      </w:pPr>
      <w:r>
        <w:rPr>
          <w:rFonts w:eastAsia="Times New Roman" w:cs="Arial" w:ascii="Arial" w:hAnsi="Arial"/>
          <w:i/>
          <w:iCs/>
          <w:sz w:val="20"/>
          <w:szCs w:val="20"/>
          <w:lang w:eastAsia="en-CA"/>
        </w:rPr>
        <w:t>Interventions and Exposures</w:t>
      </w:r>
    </w:p>
    <w:p>
      <w:pPr>
        <w:pStyle w:val="BodyCopyWorking"/>
        <w:keepNext w:val="0"/>
      </w:pPr>
      <w:sdt>
        <w:sdtPr>
          <w:alias w:val="Completed response — Not reported in the supplied CSR: no additional study report is p"/>
          <w:id w:val="1900000107"/>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Include clear definitions of exposures to treatment and to potential confounders. Clear descriptions of the assumptions and algorithms used to classify exposures to the intervention, comparator, any concomitant treatments (where relevant) and potential confounders should be provided. The time window during which an individual is considered exposed to an intervention should be described, as well as the approach used to handle individuals with more than one relevant drug exposure during the study period.  Where multiple data sources have been combined, the comparability across data sets or groups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Outcomes </w:t>
      </w:r>
    </w:p>
    <w:p>
      <w:pPr>
        <w:pStyle w:val="BodyCopyWorking"/>
        <w:keepNext w:val="0"/>
      </w:pPr>
      <w:sdt>
        <w:sdtPr>
          <w:alias w:val="Completed response — Not reported in the supplied CSR: no additional study report is p"/>
          <w:id w:val="1900000108"/>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Clearly define all relevant efficacy and safety outcomes with a focus on those that are reported to fill gaps in pivotal and phase 3 clinical trial evidence. Include clear descriptions of the assumptions and algorithms used to define outcome variables where applicable. If data are obtained from more that one source, the comparability across data sets or groups should be described. </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Statistical analysis</w:t>
      </w:r>
    </w:p>
    <w:p>
      <w:pPr>
        <w:pStyle w:val="BodyCopyWorking"/>
        <w:keepNext w:val="0"/>
      </w:pPr>
      <w:sdt>
        <w:sdtPr>
          <w:alias w:val="Completed response — Not reported in the supplied CSR: no additional study report is p"/>
          <w:id w:val="1900000109"/>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For studies of other designs included in Section 5 (e.g., observational designs including real-world evidence studies), the description of the statistical analysis will be specific to the study design but generally should include a description or explanation of the following (where relevant):</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How the sample size was determined</w:t>
      </w:r>
    </w:p>
    <w:p>
      <w:pPr>
        <w:pStyle w:val="BodyCopyWorking"/>
        <w:keepNext w:val="0"/>
      </w:pPr>
      <w:sdt>
        <w:sdtPr>
          <w:alias w:val="Completed response — Not reported in the supplied CSR: no additional study report is p"/>
          <w:id w:val="1900000110"/>
        </w:sdtPr>
        <w:sdtContent>
          <w:r>
            <w:rPr>
              <w:rFonts w:ascii="Arial" w:hAnsi="Arial"/>
              <w:color w:val="000000"/>
              <w:sz w:val="20"/>
            </w:rPr>
            <w:t>Not reported in the supplied CSR: no additional study report is provided for this field. (CSR pp. 1, 32, 35-36.)</w:t>
          </w:r>
        </w:sdtContent>
      </w:sdt>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rPr>
        <w:t>The statistical models and tests including all covariates or confounders adjusted for.</w:t>
      </w:r>
    </w:p>
    <w:p>
      <w:pPr>
        <w:pStyle w:val="BodyCopyWorking"/>
        <w:keepNext w:val="0"/>
      </w:pPr>
      <w:sdt>
        <w:sdtPr>
          <w:alias w:val="Completed response — Not reported in the supplied CSR: no additional study report is p"/>
          <w:id w:val="1900000111"/>
        </w:sdtPr>
        <w:sdtContent>
          <w:r>
            <w:rPr>
              <w:rFonts w:ascii="Arial" w:hAnsi="Arial"/>
              <w:color w:val="000000"/>
              <w:sz w:val="20"/>
            </w:rPr>
            <w:t>Not reported in the supplied CSR: no additional study report is provided for this field. (CSR pp. 1, 32, 35-36.)</w:t>
          </w:r>
        </w:sdtContent>
      </w:sdt>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Methods to control for confounding</w:t>
      </w:r>
    </w:p>
    <w:p>
      <w:pPr>
        <w:pStyle w:val="BodyCopyWorking"/>
        <w:keepNext w:val="0"/>
      </w:pPr>
      <w:sdt>
        <w:sdtPr>
          <w:alias w:val="Completed response — Not reported in the supplied CSR: no additional study report is p"/>
          <w:id w:val="1900000112"/>
        </w:sdtPr>
        <w:sdtContent>
          <w:r>
            <w:rPr>
              <w:rFonts w:ascii="Arial" w:hAnsi="Arial"/>
              <w:color w:val="000000"/>
              <w:sz w:val="20"/>
            </w:rPr>
            <w:t>Not reported in the supplied CSR: no additional study report is provided for this field. (CSR pp. 1, 32, 35-36.)</w:t>
          </w:r>
        </w:sdtContent>
      </w:sdt>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rPr>
        <w:t>Handling of quantitative variables in the analysis</w:t>
      </w:r>
      <w:r>
        <w:rPr>
          <w:color w:val="C00000"/>
          <w:sz w:val="20"/>
        </w:rPr>
        <w:t xml:space="preserve"> </w:t>
      </w:r>
    </w:p>
    <w:p>
      <w:pPr>
        <w:pStyle w:val="BodyCopyWorking"/>
        <w:keepNext w:val="0"/>
      </w:pPr>
      <w:sdt>
        <w:sdtPr>
          <w:alias w:val="Completed response — Not reported in the supplied CSR: no additional study report is p"/>
          <w:id w:val="1900000113"/>
        </w:sdtPr>
        <w:sdtContent>
          <w:r>
            <w:rPr>
              <w:rFonts w:ascii="Arial" w:hAnsi="Arial"/>
              <w:color w:val="000000"/>
              <w:sz w:val="20"/>
            </w:rPr>
            <w:t>Not reported in the supplied CSR: no additional study report is provided for this field. (CSR pp. 1, 32, 35-36.)</w:t>
          </w:r>
        </w:sdtContent>
      </w:sdt>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Methods for matching </w:t>
      </w:r>
    </w:p>
    <w:p>
      <w:pPr>
        <w:pStyle w:val="BodyCopyWorking"/>
        <w:keepNext w:val="0"/>
      </w:pPr>
      <w:sdt>
        <w:sdtPr>
          <w:alias w:val="Completed response — Not reported in the supplied CSR: no additional study report is p"/>
          <w:id w:val="1900000114"/>
        </w:sdtPr>
        <w:sdtContent>
          <w:r>
            <w:rPr>
              <w:rFonts w:ascii="Arial" w:hAnsi="Arial"/>
              <w:color w:val="000000"/>
              <w:sz w:val="20"/>
            </w:rPr>
            <w:t>Not reported in the supplied CSR: no additional study report is provided for this field. (CSR pp. 1, 32, 35-36.)</w:t>
          </w:r>
        </w:sdtContent>
      </w:sdt>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Handling of missing data and data imputation</w:t>
      </w:r>
    </w:p>
    <w:p>
      <w:pPr>
        <w:pStyle w:val="BodyCopyWorking"/>
        <w:keepNext w:val="0"/>
      </w:pPr>
      <w:sdt>
        <w:sdtPr>
          <w:alias w:val="Completed response — Not reported in the supplied CSR: no additional study report is p"/>
          <w:id w:val="1900000115"/>
        </w:sdtPr>
        <w:sdtContent>
          <w:r>
            <w:rPr>
              <w:rFonts w:ascii="Arial" w:hAnsi="Arial"/>
              <w:color w:val="000000"/>
              <w:sz w:val="20"/>
            </w:rPr>
            <w:t>Not reported in the supplied CSR: no additional study report is provided for this field. (CSR pp. 1, 32, 35-36.)</w:t>
          </w:r>
        </w:sdtContent>
      </w:sdt>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How loss to follow-up was addressed for cohort studies</w:t>
      </w:r>
    </w:p>
    <w:p>
      <w:pPr>
        <w:pStyle w:val="BodyCopyWorking"/>
        <w:keepNext w:val="0"/>
      </w:pPr>
      <w:sdt>
        <w:sdtPr>
          <w:alias w:val="Completed response — Not reported in the supplied CSR: no additional study report is p"/>
          <w:id w:val="1900000116"/>
        </w:sdtPr>
        <w:sdtContent>
          <w:r>
            <w:rPr>
              <w:rFonts w:ascii="Arial" w:hAnsi="Arial"/>
              <w:color w:val="000000"/>
              <w:sz w:val="20"/>
            </w:rPr>
            <w:t>Not reported in the supplied CSR: no additional study report is provided for this field. (CSR pp. 1, 32, 35-36.)</w:t>
          </w:r>
        </w:sdtContent>
      </w:sdt>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Methods used to control for multiple comparisons</w:t>
      </w:r>
    </w:p>
    <w:p>
      <w:pPr>
        <w:pStyle w:val="BodyCopyWorking"/>
        <w:keepNext w:val="0"/>
      </w:pPr>
      <w:sdt>
        <w:sdtPr>
          <w:alias w:val="Completed response — Not reported in the supplied CSR: no additional study report is p"/>
          <w:id w:val="1900000117"/>
        </w:sdtPr>
        <w:sdtContent>
          <w:r>
            <w:rPr>
              <w:rFonts w:ascii="Arial" w:hAnsi="Arial"/>
              <w:color w:val="000000"/>
              <w:sz w:val="20"/>
            </w:rPr>
            <w:t>Not reported in the supplied CSR: no additional study report is provided for this field. (CSR pp. 1, 32, 35-36.)</w:t>
          </w:r>
        </w:sdtContent>
      </w:sdt>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Sensitivity analysis</w:t>
      </w:r>
    </w:p>
    <w:p>
      <w:pPr>
        <w:pStyle w:val="BodyCopyWorking"/>
        <w:keepNext w:val="0"/>
      </w:pPr>
      <w:sdt>
        <w:sdtPr>
          <w:alias w:val="Completed response — Not reported in the supplied CSR: no additional study report is p"/>
          <w:id w:val="1900000118"/>
        </w:sdtPr>
        <w:sdtContent>
          <w:r>
            <w:rPr>
              <w:rFonts w:ascii="Arial" w:hAnsi="Arial"/>
              <w:color w:val="000000"/>
              <w:sz w:val="20"/>
            </w:rPr>
            <w:t>Not reported in the supplied CSR: no additional study report is provided for this field. (CSR pp. 1, 32, 35-36.)</w:t>
          </w:r>
        </w:sdtContent>
      </w:sdt>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Subgroup analysis</w:t>
      </w:r>
    </w:p>
    <w:p>
      <w:pPr>
        <w:pStyle w:val="BodyCopyWorking"/>
        <w:keepNext w:val="0"/>
      </w:pPr>
      <w:sdt>
        <w:sdtPr>
          <w:alias w:val="Completed response — Not reported in the supplied CSR: no additional study report is p"/>
          <w:id w:val="1900000119"/>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t>Patient Population </w:t>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Characteristics</w:t>
      </w:r>
    </w:p>
    <w:p>
      <w:pPr>
        <w:pStyle w:val="BodyCopyWorking"/>
        <w:keepNext w:val="0"/>
      </w:pPr>
      <w:sdt>
        <w:sdtPr>
          <w:alias w:val="Completed response — Not reported in the supplied CSR: no additional study report is p"/>
          <w:id w:val="1900000120"/>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Summarize the characteristics of the eligible participants (e.g., demographic, clinical, social) and provide information on exposures and potential confounders. A table adapted to fit the specific study design should be included. Indicate the number of participants with missing data for each variable of interest. For cohort studies, the follow-up time (e.g., average and total amount) should also be reported. </w:t>
      </w:r>
    </w:p>
    <w:p>
      <w:pPr>
        <w:pStyle w:val="Normal"/>
        <w:spacing w:lineRule="auto" w:line="360"/>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eligibility </w:t>
      </w:r>
    </w:p>
    <w:p>
      <w:pPr>
        <w:pStyle w:val="BodyCopyWorking"/>
        <w:keepNext w:val="0"/>
      </w:pPr>
      <w:sdt>
        <w:sdtPr>
          <w:alias w:val="Completed response — Not reported in the supplied CSR: no additional study report is p"/>
          <w:id w:val="1900000121"/>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Arial" w:hAnsi="Arial" w:cs="Arial"/>
          <w:color w:val="C00000"/>
          <w:sz w:val="20"/>
        </w:rPr>
      </w:pPr>
      <w:r>
        <w:rPr>
          <w:rFonts w:eastAsia="Times New Roman" w:cs="Arial" w:ascii="Arial" w:hAnsi="Arial"/>
          <w:color w:val="C00000"/>
          <w:sz w:val="20"/>
          <w:szCs w:val="20"/>
          <w:lang w:eastAsia="en-CA"/>
        </w:rPr>
        <w:t>R</w:t>
      </w:r>
      <w:r>
        <w:rPr>
          <w:rFonts w:cs="Arial" w:ascii="Arial" w:hAnsi="Arial"/>
          <w:color w:val="C00000"/>
          <w:sz w:val="20"/>
        </w:rPr>
        <w:t>eport the numbers of individuals at each stage of study—e.g., numbers potentially eligible, examined for eligibility, confirmed eligible, included in the study, completing follow-up, and analysed. The reasons for non-participation at each stage should be reported. Consider use of a flow diagram for reporting.</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sz w:val="18"/>
          <w:szCs w:val="18"/>
          <w:lang w:eastAsia="en-CA"/>
        </w:rPr>
      </w:pPr>
      <w:r>
        <w:rPr>
          <w:rFonts w:eastAsia="Times New Roman" w:cs="Arial" w:ascii="Arial" w:hAnsi="Arial"/>
          <w:lang w:eastAsia="en-CA"/>
        </w:rPr>
        <w:t>Exposure to Interventions </w:t>
      </w:r>
    </w:p>
    <w:p>
      <w:pPr>
        <w:pStyle w:val="Normal"/>
        <w:shd w:val="clear" w:color="auto" w:fill="FFFFFF"/>
        <w:spacing w:lineRule="auto" w:line="276"/>
        <w:textAlignment w:val="baseline"/>
        <w:rPr>
          <w:rFonts w:ascii="Arial" w:hAnsi="Arial" w:eastAsia="Times New Roman" w:cs="Arial"/>
          <w:i/>
          <w:iCs/>
          <w:color w:themeColor="text1" w:val="000000"/>
          <w:sz w:val="20"/>
          <w:szCs w:val="20"/>
          <w:lang w:eastAsia="en-CA"/>
        </w:rPr>
      </w:pPr>
      <w:r>
        <w:rPr>
          <w:rFonts w:eastAsia="Times New Roman" w:cs="Arial" w:ascii="Arial" w:hAnsi="Arial"/>
          <w:i/>
          <w:iCs/>
          <w:color w:themeColor="text1" w:val="000000"/>
          <w:sz w:val="20"/>
          <w:szCs w:val="20"/>
          <w:lang w:eastAsia="en-CA"/>
        </w:rPr>
        <w:t xml:space="preserve">Exposures </w:t>
      </w:r>
    </w:p>
    <w:p>
      <w:pPr>
        <w:pStyle w:val="BodyCopyWorking"/>
        <w:keepNext w:val="0"/>
      </w:pPr>
      <w:sdt>
        <w:sdtPr>
          <w:alias w:val="Completed response — Not reported in the supplied CSR: no additional study report is p"/>
          <w:id w:val="1900000122"/>
        </w:sdtPr>
        <w:sdtContent>
          <w:r>
            <w:rPr>
              <w:rFonts w:ascii="Arial" w:hAnsi="Arial"/>
              <w:color w:val="000000"/>
              <w:sz w:val="20"/>
            </w:rPr>
            <w:t>Not reported in the supplied CSR: no additional study report is provided for this field. (CSR pp. 1, 32, 35-36.)</w:t>
          </w:r>
        </w:sdtContent>
      </w:sdt>
    </w:p>
    <w:p>
      <w:pPr>
        <w:pStyle w:val="Normal"/>
        <w:shd w:val="clear" w:color="auto" w:fill="FFFFFF"/>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 xml:space="preserve">For studies of other design that are included in Section 5 (e.g., observational designs including real-world evidence studies), the exposure(s) should be summarized in a table designed to fit the specific study design. </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r>
    </w:p>
    <w:p>
      <w:pPr>
        <w:pStyle w:val="Normal"/>
        <w:spacing w:lineRule="auto" w:line="360"/>
        <w:textAlignment w:val="baseline"/>
        <w:rPr>
          <w:rFonts w:ascii="Segoe UI" w:hAnsi="Segoe UI" w:eastAsia="Times New Roman" w:cs="Segoe UI"/>
          <w:i/>
          <w:iCs/>
          <w:color w:themeColor="text1" w:val="000000"/>
          <w:sz w:val="18"/>
          <w:szCs w:val="18"/>
          <w:lang w:eastAsia="en-CA"/>
        </w:rPr>
      </w:pPr>
      <w:r>
        <w:rPr>
          <w:rFonts w:eastAsia="Times New Roman" w:cs="Arial" w:ascii="Arial" w:hAnsi="Arial"/>
          <w:i/>
          <w:iCs/>
          <w:sz w:val="20"/>
          <w:szCs w:val="20"/>
          <w:lang w:eastAsia="en-CA"/>
        </w:rPr>
        <w:t xml:space="preserve">Concomitant medications, </w:t>
      </w:r>
      <w:r>
        <w:rPr>
          <w:rFonts w:eastAsia="Times New Roman" w:cs="Arial" w:ascii="Arial" w:hAnsi="Arial"/>
          <w:i/>
          <w:iCs/>
          <w:color w:themeColor="text1" w:val="000000"/>
          <w:sz w:val="20"/>
          <w:szCs w:val="20"/>
          <w:lang w:eastAsia="en-CA"/>
        </w:rPr>
        <w:t xml:space="preserve">co-interventions, confounding treatments </w:t>
      </w:r>
    </w:p>
    <w:p>
      <w:pPr>
        <w:pStyle w:val="BodyCopyWorking"/>
        <w:keepNext w:val="0"/>
      </w:pPr>
      <w:sdt>
        <w:sdtPr>
          <w:alias w:val="Completed response — Not reported in the supplied CSR: no additional study report is p"/>
          <w:id w:val="1900000123"/>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Please summarize any concomitant or subsequent treatments. </w:t>
      </w:r>
    </w:p>
    <w:p>
      <w:pPr>
        <w:pStyle w:val="Normal"/>
        <w:shd w:val="clear" w:color="auto" w:fill="FFFFFF"/>
        <w:spacing w:lineRule="auto" w:line="276"/>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color w:themeColor="text1" w:val="000000"/>
          <w:lang w:eastAsia="en-CA"/>
        </w:rPr>
      </w:pPr>
      <w:r>
        <w:rPr>
          <w:rFonts w:eastAsia="Times New Roman" w:cs="Arial" w:ascii="Arial" w:hAnsi="Arial"/>
          <w:color w:themeColor="text1" w:val="000000"/>
          <w:lang w:eastAsia="en-CA"/>
        </w:rPr>
        <w:t>Results </w:t>
      </w:r>
    </w:p>
    <w:p>
      <w:pPr>
        <w:pStyle w:val="Normal"/>
        <w:spacing w:lineRule="auto" w:line="360"/>
        <w:textAlignment w:val="baseline"/>
        <w:rPr>
          <w:rFonts w:ascii="Segoe UI" w:hAnsi="Segoe UI" w:eastAsia="Times New Roman" w:cs="Segoe UI"/>
          <w:i/>
          <w:iCs/>
          <w:color w:themeColor="text1" w:val="000000"/>
          <w:sz w:val="20"/>
          <w:szCs w:val="20"/>
          <w:lang w:eastAsia="en-CA"/>
        </w:rPr>
      </w:pPr>
      <w:r>
        <w:rPr>
          <w:rFonts w:eastAsia="Times New Roman" w:cs="Arial" w:ascii="Arial" w:hAnsi="Arial"/>
          <w:i/>
          <w:iCs/>
          <w:color w:themeColor="text1" w:val="000000"/>
          <w:sz w:val="20"/>
          <w:szCs w:val="20"/>
          <w:lang w:eastAsia="en-CA"/>
        </w:rPr>
        <w:t>Efficacy </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Present the efficacy outcomes in a table or figure, highlighting only key results in the text. Provide both unadjusted estimates and, if applicable, confounder-adjusted or covariate-adjusted estimates and their precision (e.g., 95% confidence interval). Report the results of key sensitivity analyses and subgroup analyses if relevant.</w:t>
      </w:r>
    </w:p>
    <w:p>
      <w:pPr>
        <w:pStyle w:val="Subheadinglvl2Working"/>
        <w:rPr/>
      </w:pPr>
      <w:sdt>
        <w:sdtPr>
          <w:alias w:val="Other-design results — efficacy endpoint 1 heading"/>
          <w:id w:val="318887612"/>
        </w:sdtPr>
        <w:sdtContent>
          <w:r>
            <w:rPr>
              <w:rFonts w:ascii="Arial" w:hAnsi="Arial" w:cs="Arial"/>
              <w:sz w:val="20"/>
              <w:color w:val="000000"/>
            </w:rPr>
            <w:t xml:space="preserve">Not reported in the supplied CSR: no additional study report is provided for this field. (CSR pp. 1, 32, 35-36.)</w:t>
          </w:r>
        </w:sdtContent>
      </w:sdt>
    </w:p>
    <w:p>
      <w:pPr>
        <w:pStyle w:val="Normal"/>
        <w:spacing w:lineRule="auto" w:line="276"/>
        <w:rPr>
          <w:color w:val="C00000"/>
        </w:rPr>
      </w:pPr>
      <w:r>
        <w:rPr>
          <w:rFonts w:cs="Arial" w:ascii="Arial" w:hAnsi="Arial"/>
          <w:color w:val="C00000"/>
          <w:sz w:val="20"/>
          <w:szCs w:val="20"/>
        </w:rPr>
        <w:t xml:space="preserve">Please use a separate subheading for each endpoint. </w:t>
      </w:r>
    </w:p>
    <w:p>
      <w:pPr>
        <w:pStyle w:val="BodyCopyWorking"/>
        <w:keepNext w:val="0"/>
      </w:pPr>
      <w:sdt>
        <w:sdtPr>
          <w:alias w:val="Completed response — Not reported in the supplied CSR: no additional study report is p"/>
          <w:id w:val="1900000124"/>
        </w:sdtPr>
        <w:sdtContent>
          <w:r>
            <w:rPr>
              <w:rFonts w:ascii="Arial" w:hAnsi="Arial"/>
              <w:color w:val="000000"/>
              <w:sz w:val="20"/>
            </w:rPr>
            <w:t>Not reported in the supplied CSR: no additional study report is provided for this field. (CSR pp. 1, 32, 35-36.)</w:t>
          </w:r>
        </w:sdtContent>
      </w:sdt>
    </w:p>
    <w:p>
      <w:pPr>
        <w:pStyle w:val="Subheadinglvl2Working"/>
        <w:rPr/>
      </w:pPr>
      <w:r>
        <w:rPr/>
        <w:t>Efficacy endpoint 2</w:t>
      </w:r>
    </w:p>
    <w:p>
      <w:pPr>
        <w:pStyle w:val="BodyCopyWorking"/>
        <w:keepNext w:val="0"/>
      </w:pPr>
      <w:sdt>
        <w:sdtPr>
          <w:alias w:val="Completed response — Not reported in the supplied CSR: no additional study report is p"/>
          <w:id w:val="1900000125"/>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2Working"/>
        <w:rPr/>
      </w:pPr>
      <w:r>
        <w:rPr/>
        <w:t>Efficacy endpoint 3</w:t>
      </w:r>
    </w:p>
    <w:p>
      <w:pPr>
        <w:pStyle w:val="BodyCopyWorking"/>
        <w:keepNext w:val="0"/>
      </w:pPr>
      <w:sdt>
        <w:sdtPr>
          <w:alias w:val="Completed response — Not reported in the supplied CSR: no additional study report is p"/>
          <w:id w:val="1900000126"/>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360"/>
        <w:textAlignment w:val="baseline"/>
        <w:rPr>
          <w:rFonts w:ascii="Arial" w:hAnsi="Arial" w:eastAsia="Times New Roman" w:cs="Arial"/>
          <w:color w:val="C00000"/>
          <w:lang w:eastAsia="en-CA"/>
        </w:rPr>
      </w:pPr>
      <w:r>
        <w:rPr>
          <w:rFonts w:eastAsia="Times New Roman" w:cs="Arial" w:ascii="Arial" w:hAnsi="Arial"/>
          <w:color w:val="C00000"/>
          <w:lang w:eastAsia="en-CA"/>
        </w:rPr>
      </w:r>
    </w:p>
    <w:p>
      <w:pPr>
        <w:pStyle w:val="Normal"/>
        <w:spacing w:lineRule="auto" w:line="360"/>
        <w:textAlignment w:val="baseline"/>
        <w:rPr>
          <w:rFonts w:ascii="Arial" w:hAnsi="Arial" w:eastAsia="Times New Roman" w:cs="Arial"/>
          <w:color w:themeColor="text1" w:val="000000"/>
          <w:sz w:val="20"/>
          <w:szCs w:val="20"/>
          <w:lang w:eastAsia="en-CA"/>
        </w:rPr>
      </w:pPr>
      <w:r>
        <w:rPr>
          <w:rFonts w:eastAsia="Times New Roman" w:cs="Arial" w:ascii="Arial" w:hAnsi="Arial"/>
          <w:color w:themeColor="text1" w:val="000000"/>
          <w:sz w:val="20"/>
          <w:szCs w:val="20"/>
          <w:lang w:eastAsia="en-CA"/>
        </w:rPr>
        <w:t>Harms </w:t>
      </w:r>
    </w:p>
    <w:p>
      <w:pPr>
        <w:pStyle w:val="BodyCopyWorking"/>
        <w:keepNext w:val="0"/>
      </w:pPr>
      <w:sdt>
        <w:sdtPr>
          <w:alias w:val="Completed response — Not reported in the supplied CSR: no additional study report is p"/>
          <w:id w:val="1900000127"/>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Report the available or relevant adverse events which may include AEs, SAEs, deaths, and adverse events of special interest. Availability of harms data may be related to the specific design and may be reported as percent of population who experience one or more event, frequency of adverse events, or as rate (e.g., per patient-year</w:t>
      </w:r>
    </w:p>
    <w:p>
      <w:pPr>
        <w:pStyle w:val="Headinglvl1Working"/>
        <w:rPr/>
      </w:pPr>
      <w:bookmarkStart w:id="160" w:name="_Toc216182124"/>
      <w:bookmarkStart w:id="161" w:name="__RefHeading___Toc6198_3477833118"/>
      <w:bookmarkEnd w:id="161"/>
      <w:r>
        <w:rPr/>
        <w:t>Sponsor Summary and Conclusion</w:t>
      </w:r>
      <w:bookmarkEnd w:id="160"/>
      <w:bookmarkEnd w:id="159"/>
    </w:p>
    <w:p>
      <w:pPr>
        <w:pStyle w:val="BodyCopyWorking"/>
        <w:keepNext w:val="0"/>
      </w:pPr>
      <w:sdt>
        <w:sdtPr>
          <w:alias w:val="Completed response — Not reported in the supplied CSR: no additional study report is p"/>
          <w:id w:val="1900000128"/>
        </w:sdtPr>
        <w:sdtContent>
          <w:r>
            <w:rPr>
              <w:rFonts w:ascii="Arial" w:hAnsi="Arial"/>
              <w:color w:val="000000"/>
              <w:sz w:val="20"/>
            </w:rPr>
            <w:t>Not reported in the supplied CSR: no additional study report is provided for this field. (CSR pp. 1, 32, 35-36.)</w:t>
          </w:r>
        </w:sdtContent>
      </w:sdt>
    </w:p>
    <w:p>
      <w:pPr>
        <w:pStyle w:val="Normal"/>
        <w:spacing w:lineRule="auto" w:line="276"/>
        <w:rPr>
          <w:rFonts w:ascii="Arial" w:hAnsi="Arial" w:cs="Arial"/>
          <w:b/>
          <w:bCs/>
          <w:color w:val="C00000"/>
          <w:sz w:val="20"/>
          <w:szCs w:val="20"/>
        </w:rPr>
      </w:pPr>
      <w:r>
        <w:rPr>
          <w:rFonts w:cs="Arial" w:ascii="Arial" w:hAnsi="Arial"/>
          <w:color w:val="C00000"/>
          <w:sz w:val="20"/>
          <w:szCs w:val="20"/>
        </w:rPr>
        <w:t xml:space="preserve">In this section the sponsor may provide a brief summary and their conclusions regarding the evidence from additional studies. </w:t>
      </w:r>
      <w:r>
        <w:rPr>
          <w:rFonts w:cs="Arial" w:ascii="Arial" w:hAnsi="Arial"/>
          <w:b/>
          <w:bCs/>
          <w:color w:val="C00000"/>
          <w:sz w:val="20"/>
          <w:szCs w:val="20"/>
        </w:rPr>
        <w:t>This must not exceed 1 page.</w:t>
      </w:r>
    </w:p>
    <w:p>
      <w:pPr>
        <w:pStyle w:val="Normal"/>
        <w:spacing w:lineRule="auto" w:line="276"/>
        <w:rPr>
          <w:rFonts w:ascii="Arial" w:hAnsi="Arial" w:cs="Arial"/>
          <w:b/>
          <w:bCs/>
          <w:color w:val="C00000"/>
          <w:sz w:val="20"/>
          <w:szCs w:val="20"/>
        </w:rPr>
      </w:pPr>
      <w:r>
        <w:rPr>
          <w:rFonts w:cs="Arial" w:ascii="Arial" w:hAnsi="Arial"/>
          <w:b/>
          <w:bCs/>
          <w:color w:val="C00000"/>
          <w:sz w:val="20"/>
          <w:szCs w:val="20"/>
        </w:rPr>
      </w:r>
      <w:r>
        <w:br w:type="page"/>
      </w:r>
    </w:p>
    <w:p>
      <w:pPr>
        <w:pStyle w:val="SectionHeadingWorking"/>
        <w:spacing w:before="0" w:after="120"/>
        <w:rPr/>
      </w:pPr>
      <w:bookmarkStart w:id="162" w:name="_Toc216182125"/>
      <w:bookmarkStart w:id="163" w:name="__RefHeading___Toc6178_3477833118"/>
      <w:bookmarkEnd w:id="163"/>
      <w:r>
        <w:rPr/>
        <w:t>Section 6. Summary of the Sponsor’s Pharmacoeconomic Submission</w:t>
      </w:r>
      <w:bookmarkEnd w:id="162"/>
    </w:p>
    <w:p>
      <w:pPr>
        <w:pStyle w:val="Normal"/>
        <w:spacing w:lineRule="auto" w:line="276"/>
        <w:rPr>
          <w:rFonts w:ascii="Arial" w:hAnsi="Arial" w:eastAsia="Times New Roman" w:cs="Arial"/>
          <w:b/>
          <w:bCs/>
          <w:i/>
          <w:iCs/>
          <w:color w:val="C00000"/>
          <w:sz w:val="20"/>
          <w:szCs w:val="20"/>
          <w:lang w:eastAsia="en-CA"/>
        </w:rPr>
      </w:pPr>
      <w:r>
        <w:rPr>
          <w:rFonts w:eastAsia="Times New Roman" w:cs="Arial" w:ascii="Arial" w:hAnsi="Arial"/>
          <w:b/>
          <w:bCs/>
          <w:i/>
          <w:iCs/>
          <w:color w:val="C00000"/>
          <w:sz w:val="20"/>
          <w:szCs w:val="20"/>
          <w:lang w:eastAsia="en-CA"/>
        </w:rPr>
        <w:t xml:space="preserve">Note: All sponsors are encouraged to complete this section; however, it is only a requirement for applications that will target the December 2026 expert committee meetings or later. </w:t>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In this section of the template the sponsor must summarize the key methods and results of the pharmacoeconomic submission. The information is intended to be a summary and additional relevant details should be included in the economic evaluation technical report.</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The total length of this template cannot exceed 6 pages.</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Provide all references to source documentation. </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A RIS file containing all references used in this template must be submitted.</w:t>
      </w:r>
    </w:p>
    <w:p>
      <w:pPr>
        <w:pStyle w:val="TableTitleCADTH"/>
        <w:rPr>
          <w:rFonts w:cs="Arial"/>
        </w:rPr>
      </w:pPr>
      <w:bookmarkStart w:id="164" w:name="_Ref180058821"/>
      <w:bookmarkStart w:id="165" w:name="_Toc187838017"/>
      <w:bookmarkStart w:id="166" w:name="_Toc187838542"/>
      <w:bookmarkStart w:id="167" w:name="_Toc201313121"/>
      <w:r>
        <w:rPr>
          <w:rFonts w:cs="Arial"/>
        </w:rPr>
        <w:t>Key Components of the Sponsor’s Economic Evaluation</w:t>
      </w:r>
      <w:bookmarkEnd w:id="164"/>
      <w:bookmarkEnd w:id="165"/>
      <w:bookmarkEnd w:id="166"/>
      <w:bookmarkEnd w:id="167"/>
    </w:p>
    <w:tbl>
      <w:tblPr>
        <w:tblpPr w:vertAnchor="text" w:horzAnchor="text" w:leftFromText="180" w:rightFromText="180" w:tblpX="0" w:tblpY="1"/>
        <w:tblOverlap w:val="never"/>
        <w:tblW w:w="5000" w:type="pct"/>
        <w:jc w:val="left"/>
        <w:tblInd w:w="-5" w:type="dxa"/>
        <w:tblLayout w:type="fixed"/>
        <w:tblCellMar>
          <w:top w:w="0" w:type="dxa"/>
          <w:start w:w="108" w:type="dxa"/>
          <w:bottom w:w="0" w:type="dxa"/>
          <w:end w:w="108" w:type="dxa"/>
        </w:tblCellMar>
        <w:tblLook w:noHBand="0" w:noVBand="1" w:firstColumn="1" w:lastRow="0" w:lastColumn="0" w:firstRow="1" w:val="04a0"/>
      </w:tblPr>
      <w:tblGrid>
        <w:gridCol w:w="2831"/>
        <w:gridCol w:w="7707"/>
      </w:tblGrid>
      <w:tr>
        <w:trPr>
          <w:tblHeader/>
          <w:cantSplit/>
        </w:trPr>
        <w:tc>
          <w:tcPr>
            <w:tcW w:w="2830" w:type="dxa"/>
            <w:tcBorders>
              <w:top w:val="single" w:sz="4" w:space="0" w:color="007DC6"/>
              <w:start w:val="single" w:sz="4" w:space="0" w:color="007DC6"/>
              <w:bottom w:val="single" w:sz="4" w:space="0" w:color="007DC6"/>
              <w:end w:val="single" w:sz="4" w:space="0" w:color="FFFFFF"/>
            </w:tcBorders>
            <w:shd w:color="auto" w:fill="0067B9" w:val="clear"/>
          </w:tcPr>
          <w:p>
            <w:pPr>
              <w:pStyle w:val="TableHeadingCADTH"/>
              <w:spacing w:lineRule="auto" w:line="276" w:before="40" w:after="40"/>
              <w:rPr>
                <w:rFonts w:cs="Arial"/>
              </w:rPr>
            </w:pPr>
            <w:r>
              <w:rPr>
                <w:rFonts w:cs="Arial"/>
              </w:rPr>
              <w:t>Component</w:t>
            </w:r>
          </w:p>
        </w:tc>
        <w:tc>
          <w:tcPr>
            <w:tcW w:w="7708" w:type="dxa"/>
            <w:tcBorders>
              <w:top w:val="single" w:sz="4" w:space="0" w:color="007DC6"/>
              <w:start w:val="single" w:sz="4" w:space="0" w:color="FFFFFF"/>
              <w:bottom w:val="single" w:sz="4" w:space="0" w:color="007DC6"/>
              <w:end w:val="single" w:sz="4" w:space="0" w:color="007DC6"/>
            </w:tcBorders>
            <w:shd w:color="auto" w:fill="0067B9" w:val="clear"/>
          </w:tcPr>
          <w:p>
            <w:pPr>
              <w:pStyle w:val="TableHeadingCADTH"/>
              <w:spacing w:lineRule="auto" w:line="276" w:before="40" w:after="40"/>
              <w:rPr>
                <w:rFonts w:cs="Arial"/>
              </w:rPr>
            </w:pPr>
            <w:r>
              <w:rPr>
                <w:rFonts w:cs="Arial"/>
              </w:rPr>
              <w:t>Description</w:t>
            </w:r>
          </w:p>
        </w:tc>
      </w:tr>
      <w:tr>
        <w:trPr>
          <w:cantSplit/>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Treatment information</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Drug under review (DUR)</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drug under review"/>
                <w:id w:val="264985966"/>
              </w:sdtPr>
              <w:sdtContent>
                <w:r>
                  <w:rPr>
                    <w:rFonts w:ascii="Arial" w:hAnsi="Arial" w:cs="Arial"/>
                    <w:sz w:val="18"/>
                    <w:color w:val="000000"/>
                  </w:rPr>
                  <w:t xml:space="preserve">Clinical-trial product: semaglutide solution for injection (1.0 or 3.0 mg/mL in 3 mL pens), target 2.4 mg once weekly plus lifestyle intervention. Canadian marketed strengths, brand, monograph recommendations and model inputs are not reported. (CSR pp. 39-41, Tables 9-1 and 9-2.)</w:t>
                </w:r>
              </w:sdtContent>
            </w:sdt>
            <w:r>
              <w:rPr>
                <w:i/>
                <w:iCs/>
                <w:color w:val="C00000"/>
              </w:rPr>
              <w:t xml:space="preserve">State the generic name (Brand) of DUR, dosage form, and all strengths/concentrations as relevant. </w:t>
            </w:r>
          </w:p>
          <w:p>
            <w:pPr>
              <w:pStyle w:val="Bulletedlistlvl1Working"/>
              <w:numPr>
                <w:ilvl w:val="0"/>
                <w:numId w:val="3"/>
              </w:numPr>
              <w:spacing w:lineRule="auto" w:line="276"/>
              <w:ind w:hanging="360" w:start="360"/>
              <w:rPr>
                <w:i/>
                <w:iCs/>
                <w:color w:val="C00000"/>
              </w:rPr>
            </w:pPr>
            <w:r>
              <w:rPr>
                <w:i/>
                <w:iCs/>
                <w:color w:val="C00000"/>
              </w:rPr>
              <w:t>Note if DUR is to be used in addition to other treatment(s), if relevant</w:t>
            </w:r>
          </w:p>
          <w:p>
            <w:pPr>
              <w:pStyle w:val="Bulletedlistlvl1Working"/>
              <w:numPr>
                <w:ilvl w:val="0"/>
                <w:numId w:val="3"/>
              </w:numPr>
              <w:spacing w:lineRule="auto" w:line="276" w:before="20" w:after="120"/>
              <w:ind w:hanging="360" w:start="360"/>
              <w:rPr>
                <w:i/>
                <w:iCs/>
                <w:color w:val="C00000"/>
              </w:rPr>
            </w:pPr>
            <w:r>
              <w:rPr>
                <w:i/>
                <w:iCs/>
                <w:color w:val="C00000"/>
              </w:rPr>
              <w:t>Summarize the recommended dosage of DUR per the product monograph.</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Submitted price of 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submitted price"/>
                <w:id w:val="773279463"/>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State the price per lowest dispensable unit (e.g., per tablet, vial, prefilled syringe) to 2 decimal places for all submitted strengths/forms.</w:t>
            </w:r>
          </w:p>
          <w:p>
            <w:pPr>
              <w:pStyle w:val="Bulletedlistlvl1Working"/>
              <w:numPr>
                <w:ilvl w:val="0"/>
                <w:numId w:val="3"/>
              </w:numPr>
              <w:spacing w:lineRule="auto" w:line="276" w:before="20" w:after="120"/>
              <w:ind w:hanging="360" w:start="360"/>
              <w:rPr>
                <w:i/>
                <w:iCs/>
                <w:color w:val="C00000"/>
              </w:rPr>
            </w:pPr>
            <w:r>
              <w:rPr>
                <w:i/>
                <w:iCs/>
                <w:color w:val="C00000"/>
              </w:rPr>
              <w:t>Prices must be aligned with those on the Pricing and Distribution form</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Regimen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regimen"/>
                <w:id w:val="1348867574"/>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Describe the dosage regimen used in the model for DUR</w:t>
            </w:r>
          </w:p>
          <w:p>
            <w:pPr>
              <w:pStyle w:val="Bulletedlistlvl1Working"/>
              <w:numPr>
                <w:ilvl w:val="0"/>
                <w:numId w:val="3"/>
              </w:numPr>
              <w:spacing w:lineRule="auto" w:line="276"/>
              <w:ind w:hanging="360" w:start="360"/>
              <w:rPr>
                <w:i/>
                <w:iCs/>
                <w:color w:val="C00000"/>
              </w:rPr>
            </w:pPr>
            <w:r>
              <w:rPr>
                <w:i/>
                <w:iCs/>
                <w:color w:val="C00000"/>
              </w:rPr>
              <w:t>If this differs from the dosage regimen in the product monograph, state any differences and provide source/rationale for alternate dosing regimen.</w:t>
            </w:r>
          </w:p>
          <w:p>
            <w:pPr>
              <w:pStyle w:val="Bulletedlistlvl1Working"/>
              <w:numPr>
                <w:ilvl w:val="0"/>
                <w:numId w:val="3"/>
              </w:numPr>
              <w:spacing w:lineRule="auto" w:line="276" w:before="20" w:after="120"/>
              <w:ind w:hanging="360" w:start="360"/>
              <w:rPr>
                <w:i/>
                <w:iCs/>
                <w:color w:val="C00000"/>
              </w:rPr>
            </w:pPr>
            <w:r>
              <w:rPr>
                <w:i/>
                <w:iCs/>
                <w:color w:val="C00000"/>
              </w:rPr>
              <w:t>Note if DUR is used in addition to other treatments (e.g., standard of care) or as part of a regimen (e.g., oncology regimens). Clearly state all components and dosages.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color w:val="C00000"/>
              </w:rPr>
              <w:t xml:space="preserve">Annual cost, per-cycle cost, or one-time cost </w:t>
            </w:r>
            <w:r>
              <w:rPr>
                <w:rFonts w:cs="Arial"/>
                <w:bCs/>
              </w:rPr>
              <w:t>of</w:t>
            </w:r>
            <w:r>
              <w:rPr>
                <w:rFonts w:cs="Arial"/>
                <w:bCs/>
                <w:color w:val="FF0000"/>
              </w:rPr>
              <w:t xml:space="preserve"> </w:t>
            </w:r>
            <w:r>
              <w:rPr>
                <w:rFonts w:cs="Arial"/>
                <w:bCs/>
                <w:color w:val="auto"/>
              </w:rPr>
              <w:t>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acquisition cost"/>
                <w:id w:val="1289662293"/>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acquisition cost used in the model for DUR. For oncology submissions, this will typically be per 28-day treatment cycle. For non-oncology submissions, this will typically be annual treatment cost. If something different, clearly state the duration. </w:t>
            </w:r>
          </w:p>
          <w:p>
            <w:pPr>
              <w:pStyle w:val="Bulletedlistlvl1Working"/>
              <w:numPr>
                <w:ilvl w:val="0"/>
                <w:numId w:val="3"/>
              </w:numPr>
              <w:spacing w:lineRule="auto" w:line="276"/>
              <w:ind w:hanging="360" w:start="360"/>
              <w:rPr>
                <w:i/>
                <w:iCs/>
                <w:color w:val="C00000"/>
              </w:rPr>
            </w:pPr>
            <w:r>
              <w:rPr>
                <w:i/>
                <w:iCs/>
                <w:color w:val="C00000"/>
              </w:rPr>
              <w:t xml:space="preserve">Note any modifying assumptions that were made in the calculation of drug costs (e.g., weight, if weight-based dose; relative dose intensity; different costs in first course vs. subsequent course) </w:t>
            </w:r>
          </w:p>
          <w:p>
            <w:pPr>
              <w:pStyle w:val="Bulletedlistlvl1Working"/>
              <w:numPr>
                <w:ilvl w:val="0"/>
                <w:numId w:val="3"/>
              </w:numPr>
              <w:spacing w:lineRule="auto" w:line="276" w:before="20" w:after="120"/>
              <w:ind w:hanging="360" w:start="360"/>
              <w:rPr>
                <w:i/>
                <w:iCs/>
                <w:color w:val="C00000"/>
              </w:rPr>
            </w:pPr>
            <w:r>
              <w:rPr>
                <w:i/>
                <w:iCs/>
                <w:color w:val="C00000"/>
              </w:rPr>
              <w:t>If DUR is used in addition to standard of care (or another treatment), clearly state the acquisition cost of DUR and the other components</w:t>
            </w:r>
          </w:p>
        </w:tc>
      </w:tr>
      <w:tr>
        <w:trPr>
          <w:cantSplit/>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Model information</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Type of economic evaluation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pPr>
            <w:sdt>
              <w:sdtPr>
                <w:alias w:val="Economic evaluation — type of economic evaluation"/>
                <w:id w:val="791844239"/>
              </w:sdtPr>
              <w:sdtContent>
                <w:r>
                  <w:rPr>
                    <w:rFonts w:ascii="Arial" w:hAnsi="Arial" w:cs="Arial"/>
                    <w:sz w:val="18"/>
                    <w:color w:val="000000"/>
                  </w:rPr>
                  <w:t xml:space="preserve">Not reported in the supplied CSR: no pharmacoeconomic submission is presented. (CSR pp. 1, 32-36: clinical-trial scope.)</w:t>
                </w:r>
              </w:sdtContent>
            </w:sdt>
            <w:r>
              <w:rPr/>
              <w:t>Cost-utility analysis</w:t>
            </w:r>
          </w:p>
          <w:p>
            <w:pPr>
              <w:pStyle w:val="Bulletedlistlvl1Working"/>
              <w:numPr>
                <w:ilvl w:val="0"/>
                <w:numId w:val="3"/>
              </w:numPr>
              <w:spacing w:lineRule="auto" w:line="276" w:before="20" w:after="120"/>
              <w:ind w:hanging="360" w:start="360"/>
              <w:rPr>
                <w:color w:val="FF0000"/>
              </w:rPr>
            </w:pPr>
            <w:r>
              <w:rPr>
                <w:i/>
                <w:color w:val="C00000"/>
              </w:rPr>
              <w:t>State the model type:</w:t>
            </w:r>
            <w:r>
              <w:rPr>
                <w:color w:val="C00000"/>
              </w:rPr>
              <w:t xml:space="preserve"> Markov model, PSM, decision tree etc.</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Treatment </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FF0000"/>
              </w:rPr>
            </w:pPr>
            <w:sdt>
              <w:sdtPr>
                <w:alias w:val="Economic evaluation — treatment"/>
                <w:id w:val="2025125224"/>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State the DUR or regimen under review</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Included comparator</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included comparators"/>
                <w:id w:val="907116021"/>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generic name of each comparator </w:t>
            </w:r>
          </w:p>
          <w:p>
            <w:pPr>
              <w:pStyle w:val="Bulletedlistlvl1Working"/>
              <w:numPr>
                <w:ilvl w:val="0"/>
                <w:numId w:val="3"/>
              </w:numPr>
              <w:spacing w:lineRule="auto" w:line="276"/>
              <w:ind w:hanging="360" w:start="360"/>
              <w:rPr>
                <w:color w:val="C00000"/>
              </w:rPr>
            </w:pPr>
            <w:r>
              <w:rPr>
                <w:i/>
                <w:iCs/>
                <w:color w:val="C00000"/>
              </w:rPr>
              <w:t xml:space="preserve">Note if each comparator is used in addition to other treatment(s). </w:t>
            </w:r>
          </w:p>
          <w:p>
            <w:pPr>
              <w:pStyle w:val="Bulletedlistlvl1Working"/>
              <w:numPr>
                <w:ilvl w:val="0"/>
                <w:numId w:val="3"/>
              </w:numPr>
              <w:spacing w:lineRule="auto" w:line="276"/>
              <w:ind w:hanging="360" w:start="360"/>
              <w:rPr>
                <w:color w:val="C00000"/>
              </w:rPr>
            </w:pPr>
            <w:r>
              <w:rPr>
                <w:i/>
                <w:iCs/>
                <w:color w:val="C00000"/>
              </w:rPr>
              <w:t>If best supportive care, standard of care, etc. is included as a comparator, clearly define the components.</w:t>
            </w:r>
          </w:p>
          <w:p>
            <w:pPr>
              <w:pStyle w:val="Bulletedlistlvl1Working"/>
              <w:numPr>
                <w:ilvl w:val="0"/>
                <w:numId w:val="3"/>
              </w:numPr>
              <w:spacing w:lineRule="auto" w:line="276"/>
              <w:ind w:hanging="360" w:start="360"/>
              <w:rPr>
                <w:i/>
                <w:iCs/>
                <w:color w:val="C00000"/>
              </w:rPr>
            </w:pPr>
            <w:r>
              <w:rPr>
                <w:i/>
                <w:iCs/>
                <w:color w:val="C00000"/>
              </w:rPr>
              <w:t>If multiple comparators, use an alphabetized, bulleted list.</w:t>
            </w:r>
          </w:p>
          <w:p>
            <w:pPr>
              <w:pStyle w:val="Bulletedlistlvl1Working"/>
              <w:numPr>
                <w:ilvl w:val="0"/>
                <w:numId w:val="3"/>
              </w:numPr>
              <w:spacing w:lineRule="auto" w:line="276" w:before="20" w:after="120"/>
              <w:ind w:hanging="360" w:start="360"/>
              <w:rPr>
                <w:i/>
                <w:iCs/>
              </w:rPr>
            </w:pPr>
            <w:r>
              <w:rPr>
                <w:i/>
                <w:iCs/>
                <w:color w:val="C00000"/>
              </w:rPr>
              <w:t>If relevant, note if comparators differ across subgroup analyses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Perspective</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pPr>
            <w:sdt>
              <w:sdtPr>
                <w:alias w:val="Economic evaluation — perspective"/>
                <w:id w:val="1495586639"/>
              </w:sdtPr>
              <w:sdtContent>
                <w:r>
                  <w:rPr>
                    <w:rFonts w:ascii="Arial" w:hAnsi="Arial" w:cs="Arial"/>
                    <w:sz w:val="18"/>
                    <w:color w:val="000000"/>
                  </w:rPr>
                  <w:t xml:space="preserve">Not reported in the supplied CSR: no pharmacoeconomic submission is presented. (CSR pp. 1, 32-36: clinical-trial scope.)</w:t>
                </w:r>
              </w:sdtContent>
            </w:sdt>
            <w:r>
              <w:rPr/>
              <w:t>Publicly funded health care payer perspective</w:t>
            </w:r>
          </w:p>
          <w:p>
            <w:pPr>
              <w:pStyle w:val="Bulletedlistlvl1Working"/>
              <w:numPr>
                <w:ilvl w:val="0"/>
                <w:numId w:val="3"/>
              </w:numPr>
              <w:spacing w:lineRule="auto" w:line="276" w:before="20" w:after="120"/>
              <w:ind w:hanging="360" w:start="360"/>
              <w:rPr>
                <w:i/>
                <w:iCs/>
                <w:color w:val="FF0000"/>
              </w:rPr>
            </w:pPr>
            <w:r>
              <w:rPr>
                <w:i/>
                <w:iCs/>
                <w:color w:val="C00000"/>
              </w:rPr>
              <w:t>If this is a Complex Review (Scenario 1), add: Societal perspective</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Time horizon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color w:val="FF0000"/>
              </w:rPr>
            </w:pPr>
            <w:sdt>
              <w:sdtPr>
                <w:alias w:val="Economic evaluation — time horizon"/>
                <w:id w:val="361803547"/>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model time horizon. If lifetime, state: </w:t>
            </w:r>
            <w:r>
              <w:rPr>
                <w:color w:val="C00000"/>
              </w:rPr>
              <w:t xml:space="preserve">Lifetime (# years), </w:t>
            </w:r>
            <w:r>
              <w:rPr>
                <w:i/>
                <w:iCs/>
                <w:color w:val="C00000"/>
              </w:rPr>
              <w:t>else state</w:t>
            </w:r>
            <w:r>
              <w:rPr>
                <w:color w:val="C00000"/>
              </w:rPr>
              <w:t xml:space="preserve"> # years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Cycle length</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cycle length"/>
                <w:id w:val="2131547341"/>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model cycle length. If not applicable (e.g., for decision tree), state </w:t>
            </w:r>
            <w:r>
              <w:rPr>
                <w:color w:val="C00000"/>
              </w:rPr>
              <w:t>Not applicable</w:t>
            </w:r>
            <w:r>
              <w:rPr>
                <w:i/>
                <w:iCs/>
                <w:color w:val="C00000"/>
              </w:rPr>
              <w:t>.</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Modelled population</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led populations"/>
                <w:id w:val="1891807567"/>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Briefly describe the modelled population</w:t>
            </w:r>
          </w:p>
          <w:p>
            <w:pPr>
              <w:pStyle w:val="Bulletedlistlvl1Working"/>
              <w:numPr>
                <w:ilvl w:val="0"/>
                <w:numId w:val="3"/>
              </w:numPr>
              <w:spacing w:lineRule="auto" w:line="276"/>
              <w:ind w:hanging="360" w:start="360"/>
              <w:rPr>
                <w:i/>
                <w:iCs/>
                <w:color w:val="C00000"/>
              </w:rPr>
            </w:pPr>
            <w:r>
              <w:rPr>
                <w:i/>
                <w:iCs/>
                <w:color w:val="C00000"/>
              </w:rPr>
              <w:t xml:space="preserve">If relevant, describe any submitted subgroups </w:t>
            </w:r>
          </w:p>
          <w:p>
            <w:pPr>
              <w:pStyle w:val="Bulletedlistlvl1Working"/>
              <w:numPr>
                <w:ilvl w:val="0"/>
                <w:numId w:val="3"/>
              </w:numPr>
              <w:spacing w:lineRule="auto" w:line="276" w:before="20" w:after="120"/>
              <w:ind w:hanging="360" w:start="360"/>
              <w:rPr>
                <w:i/>
                <w:iCs/>
                <w:color w:val="C00000"/>
              </w:rPr>
            </w:pPr>
            <w:r>
              <w:rPr>
                <w:i/>
                <w:iCs/>
                <w:color w:val="C00000"/>
              </w:rPr>
              <w:t xml:space="preserve">Describe any meaningful differences between the modelled population and the Health Canada indication (draft or approved). </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Characteristics of modelled population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led population characteristics"/>
                <w:id w:val="55874670"/>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State the mean starting age of patients in the population, along with any other relevant characteristics (e.g., sex, weight, BMI, BSA). </w:t>
            </w:r>
          </w:p>
          <w:p>
            <w:pPr>
              <w:pStyle w:val="Bulletedlistlvl1Working"/>
              <w:numPr>
                <w:ilvl w:val="0"/>
                <w:numId w:val="3"/>
              </w:numPr>
              <w:spacing w:lineRule="auto" w:line="276" w:before="20" w:after="120"/>
              <w:ind w:hanging="360" w:start="360"/>
              <w:rPr>
                <w:i/>
                <w:iCs/>
                <w:color w:val="C00000"/>
              </w:rPr>
            </w:pPr>
            <w:r>
              <w:rPr>
                <w:i/>
                <w:iCs/>
                <w:color w:val="C00000"/>
              </w:rPr>
              <w:t>Specify data for subgroups if relevant.</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Model health states </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 health states"/>
                <w:id w:val="758313764"/>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State the model health states.</w:t>
            </w:r>
          </w:p>
          <w:p>
            <w:pPr>
              <w:pStyle w:val="Bulletedlistlvl1Working"/>
              <w:numPr>
                <w:ilvl w:val="0"/>
                <w:numId w:val="3"/>
              </w:numPr>
              <w:spacing w:lineRule="auto" w:line="276" w:before="20" w:after="120"/>
              <w:ind w:hanging="360" w:start="360"/>
              <w:rPr>
                <w:i/>
                <w:iCs/>
                <w:color w:val="C00000"/>
              </w:rPr>
            </w:pPr>
            <w:r>
              <w:rPr>
                <w:i/>
                <w:iCs/>
                <w:color w:val="C00000"/>
              </w:rPr>
              <w:t xml:space="preserve">Detailed information about the health states should be provided in the Model Structure section below. </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Duration of treatment</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duration of treatment"/>
                <w:id w:val="1190394190"/>
              </w:sdtPr>
              <w:sdtContent>
                <w:r>
                  <w:rPr>
                    <w:rFonts w:ascii="Arial" w:hAnsi="Arial" w:cs="Arial"/>
                    <w:sz w:val="18"/>
                    <w:color w:val="000000"/>
                  </w:rPr>
                  <w:t xml:space="preserve">Not reported in the supplied CSR: no pharmacoeconomic submission is presented. (CSR pp. 1, 32-36: clinical-trial scope.)</w:t>
                </w:r>
              </w:sdtContent>
            </w:sdt>
            <w:r>
              <w:rPr>
                <w:i/>
                <w:iCs/>
                <w:color w:val="C00000"/>
              </w:rPr>
              <w:t xml:space="preserve">Describe the duration of treatment in the model for DUR and comparators (if different). </w:t>
            </w:r>
          </w:p>
          <w:p>
            <w:pPr>
              <w:pStyle w:val="Bulletedlistlvl1Working"/>
              <w:numPr>
                <w:ilvl w:val="0"/>
                <w:numId w:val="3"/>
              </w:numPr>
              <w:spacing w:lineRule="auto" w:line="276" w:before="20" w:after="120"/>
              <w:ind w:hanging="360" w:start="360"/>
              <w:rPr>
                <w:i/>
                <w:iCs/>
                <w:color w:val="C00000"/>
              </w:rPr>
            </w:pPr>
            <w:r>
              <w:rPr>
                <w:i/>
                <w:iCs/>
                <w:color w:val="C00000"/>
              </w:rPr>
              <w:t>Describe any differences between duration of treatment in the economic model versus any proposed reimbursement criteria as well as any differences versus any duration/discontinuation criteria specified in the product monograph. </w:t>
            </w:r>
          </w:p>
        </w:tc>
      </w:tr>
      <w:tr>
        <w:trPr>
          <w:cantSplit/>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Data sources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Comparative efficacy</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comparative efficacy sources"/>
                <w:id w:val="706725562"/>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Describe the sources, inputs, and assumptions made that inform the comparative efficacy of the drug under review relative to the included comparators.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 xml:space="preserve">Natural history and/or clinical pathway </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natural history sources"/>
                <w:id w:val="508644034"/>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Briefly describe the sources, inputs, and assumptions made that inform other aspects of the operation and output of the model. This could include:</w:t>
            </w:r>
          </w:p>
          <w:p>
            <w:pPr>
              <w:pStyle w:val="TableBodyCopyCADTH"/>
              <w:numPr>
                <w:ilvl w:val="1"/>
                <w:numId w:val="25"/>
              </w:numPr>
              <w:spacing w:lineRule="auto" w:line="276" w:before="40" w:after="40"/>
              <w:ind w:hanging="360" w:start="749"/>
              <w:rPr>
                <w:rFonts w:cs="Arial"/>
                <w:i/>
                <w:iCs/>
                <w:color w:val="C00000"/>
              </w:rPr>
            </w:pPr>
            <w:r>
              <w:rPr>
                <w:rFonts w:cs="Arial"/>
                <w:i/>
                <w:iCs/>
                <w:color w:val="C00000"/>
              </w:rPr>
              <w:t>disease natural history, population demographics, epidemiological parameters</w:t>
            </w:r>
          </w:p>
          <w:p>
            <w:pPr>
              <w:pStyle w:val="TableBodyCopyCADTH"/>
              <w:numPr>
                <w:ilvl w:val="1"/>
                <w:numId w:val="25"/>
              </w:numPr>
              <w:spacing w:lineRule="auto" w:line="276" w:before="40" w:after="40"/>
              <w:ind w:hanging="360" w:start="749"/>
              <w:rPr>
                <w:i/>
                <w:iCs/>
                <w:color w:val="C00000"/>
              </w:rPr>
            </w:pPr>
            <w:r>
              <w:rPr>
                <w:rFonts w:cs="Arial"/>
                <w:i/>
                <w:iCs/>
                <w:color w:val="C00000"/>
              </w:rPr>
              <w:t>health state transitions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Health-related utilities and disutilities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utilities sources"/>
                <w:id w:val="635493110"/>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Briefly describe the sources, inputs, and assumptions pertaining to the derivation and application of health state utilities and disutilities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 xml:space="preserve">Provide references where appropriate </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Costs </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cost sources"/>
                <w:id w:val="1000818579"/>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Briefly describe the sources, inputs, and assumptions for costs included in the model)</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cantSplit/>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b/>
                <w:bCs/>
                <w:color w:val="auto"/>
                <w:highlight w:val="yellow"/>
              </w:rPr>
            </w:pPr>
            <w:r>
              <w:rPr>
                <w:rFonts w:cs="Arial"/>
                <w:b/>
                <w:bCs/>
                <w:color w:val="auto"/>
              </w:rPr>
              <w:t>Summary of the submitted results</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Base case results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base case results"/>
                <w:id w:val="909304935"/>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 xml:space="preserve">If 1 comparator, state: </w:t>
            </w:r>
            <w:r>
              <w:rPr>
                <w:rFonts w:cs="Arial"/>
                <w:color w:val="C00000"/>
              </w:rPr>
              <w:t>ICER = $[to nearest dollar] per QALY gained versus [comparator] (incremental costs = $X; incremental QALYs = X)</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If multiple comparators, indicate the ICER for DUR compared to the next drug on the frontier. Include incremental costs and incremental QALYs for the comparator used to calculate the ICER. Do not include comparators not on the frontier</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If relevant, provide the results by subgroup.</w:t>
            </w:r>
          </w:p>
          <w:p>
            <w:pPr>
              <w:pStyle w:val="TableBodyCopyCADTH"/>
              <w:numPr>
                <w:ilvl w:val="0"/>
                <w:numId w:val="25"/>
              </w:numPr>
              <w:spacing w:lineRule="auto" w:line="276" w:before="40" w:after="40"/>
              <w:ind w:hanging="251" w:start="283"/>
              <w:rPr>
                <w:color w:val="C00000"/>
              </w:rPr>
            </w:pPr>
            <w:r>
              <w:rPr>
                <w:rFonts w:cs="Arial"/>
                <w:i/>
                <w:iCs/>
                <w:color w:val="C00000"/>
              </w:rPr>
              <w:t>If this is a Complex Review (Scenario 1), additionally present the results from the societal perspective</w:t>
            </w:r>
          </w:p>
        </w:tc>
      </w:tr>
      <w:tr>
        <w:trPr>
          <w:cantSplit/>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Scenario analysis results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scenario analysis results"/>
                <w:id w:val="314227250"/>
              </w:sdtPr>
              <w:sdtContent>
                <w:r>
                  <w:rPr>
                    <w:rFonts w:ascii="Arial" w:hAnsi="Arial" w:cs="Arial"/>
                    <w:sz w:val="18"/>
                    <w:color w:val="000000"/>
                  </w:rPr>
                  <w:t xml:space="preserve">Not reported in the supplied CSR: no pharmacoeconomic submission is presented. (CSR pp. 1, 32-36: clinical-trial scope.)</w:t>
                </w:r>
              </w:sdtContent>
            </w:sdt>
            <w:r>
              <w:rPr>
                <w:rFonts w:cs="Arial"/>
                <w:i/>
                <w:iCs/>
                <w:color w:val="C00000"/>
              </w:rPr>
              <w:t xml:space="preserve">Provide the ICERs for all submitted scenario analyses </w:t>
            </w:r>
          </w:p>
        </w:tc>
      </w:tr>
    </w:tbl>
    <w:p>
      <w:pPr>
        <w:pStyle w:val="TableFooterCADTH"/>
        <w:rPr>
          <w:i/>
          <w:iCs/>
        </w:rPr>
      </w:pPr>
      <w:r>
        <w:rPr>
          <w:i/>
          <w:iCs/>
          <w:highlight w:val="yellow"/>
        </w:rPr>
        <w:br w:type="textWrapping" w:clear="all"/>
      </w:r>
      <w:r>
        <w:rPr>
          <w:i/>
          <w:iCs/>
        </w:rPr>
        <w:t>ICER = incremental cost-effectiveness ratio; QALY = quality-adjusted life-years</w:t>
      </w:r>
      <w:r>
        <w:rPr>
          <w:i/>
          <w:iCs/>
          <w:color w:val="FF0000"/>
        </w:rPr>
        <w:t>;</w:t>
      </w:r>
      <w:r>
        <w:rPr>
          <w:i/>
        </w:rPr>
        <w:t xml:space="preserve"> </w:t>
      </w:r>
      <w:r>
        <w:rPr>
          <w:i/>
          <w:iCs/>
          <w:color w:val="FF0000"/>
        </w:rPr>
        <w:t>[add as required].</w:t>
      </w:r>
    </w:p>
    <w:p>
      <w:pPr>
        <w:pStyle w:val="Subheadinglvl1Working"/>
        <w:rPr/>
      </w:pPr>
      <w:r>
        <w:rPr/>
        <w:t>Model Structure</w:t>
      </w:r>
    </w:p>
    <w:p>
      <w:pPr>
        <w:pStyle w:val="BodyCopyWorking"/>
        <w:keepNext w:val="0"/>
      </w:pPr>
      <w:sdt>
        <w:sdtPr>
          <w:alias w:val="Completed response — Not reported in the supplied CSR: no pharmacoeconomic submission "/>
          <w:id w:val="1900000129"/>
        </w:sdtPr>
        <w:sdtContent>
          <w:r>
            <w:rPr>
              <w:rFonts w:ascii="Arial" w:hAnsi="Arial"/>
              <w:color w:val="000000"/>
              <w:sz w:val="20"/>
            </w:rPr>
            <w:t>Not reported in the supplied CSR: no pharmacoeconomic submission is presented. (CSR pp. 1, 32-36: clinical-trial scope.)</w:t>
          </w:r>
        </w:sdtContent>
      </w:sdt>
    </w:p>
    <w:p>
      <w:pPr>
        <w:pStyle w:val="BodyCopyWorking"/>
        <w:numPr>
          <w:ilvl w:val="0"/>
          <w:numId w:val="24"/>
        </w:numPr>
        <w:rPr>
          <w:i/>
          <w:iCs/>
          <w:color w:val="C00000"/>
        </w:rPr>
      </w:pPr>
      <w:r>
        <w:rPr>
          <w:i/>
          <w:iCs/>
          <w:color w:val="C00000"/>
        </w:rPr>
        <w:t xml:space="preserve">If a PSM has been submitted, this section may be omitted. For all other model structures, provide a narrative description of the submitted model </w:t>
      </w:r>
    </w:p>
    <w:p>
      <w:pPr>
        <w:pStyle w:val="BodyCopyWorking"/>
        <w:numPr>
          <w:ilvl w:val="0"/>
          <w:numId w:val="24"/>
        </w:numPr>
        <w:rPr>
          <w:i/>
          <w:iCs/>
          <w:color w:val="C00000"/>
        </w:rPr>
      </w:pPr>
      <w:r>
        <w:rPr>
          <w:i/>
          <w:iCs/>
          <w:color w:val="C00000"/>
        </w:rPr>
        <w:t>This section should provide a high-level summary of the submitted model structure including the components of the submitted model structure (e.g., health states, events)</w:t>
      </w:r>
    </w:p>
    <w:p>
      <w:pPr>
        <w:pStyle w:val="BodyCopyWorking"/>
        <w:keepNext w:val="0"/>
      </w:pPr>
      <w:sdt>
        <w:sdtPr>
          <w:alias w:val="Completed response — Not reported in the supplied CSR: no pharmacoeconomic submission "/>
          <w:id w:val="1900000130"/>
        </w:sdtPr>
        <w:sdtContent>
          <w:r>
            <w:rPr>
              <w:rFonts w:ascii="Arial" w:hAnsi="Arial"/>
              <w:color w:val="000000"/>
              <w:sz w:val="20"/>
            </w:rPr>
            <w:t>Not reported in the supplied CSR: no pharmacoeconomic submission is presented. (CSR pp. 1, 32-36: clinical-trial scope.)</w:t>
          </w:r>
        </w:sdtContent>
      </w:sdt>
    </w:p>
    <w:p>
      <w:pPr>
        <w:pStyle w:val="BodyCopyWorking"/>
        <w:numPr>
          <w:ilvl w:val="0"/>
          <w:numId w:val="24"/>
        </w:numPr>
        <w:rPr>
          <w:i/>
          <w:iCs/>
          <w:color w:val="C00000"/>
        </w:rPr>
      </w:pPr>
      <w:r>
        <w:rPr>
          <w:i/>
          <w:iCs/>
          <w:color w:val="C00000"/>
        </w:rPr>
        <w:t>Describe how patients move through the model (e.g., cycling, progress and/or improve, tunnel states, time dependencies).</w:t>
      </w:r>
    </w:p>
    <w:p>
      <w:pPr>
        <w:pStyle w:val="BodyCopyWorking"/>
        <w:keepNext w:val="0"/>
      </w:pPr>
      <w:sdt>
        <w:sdtPr>
          <w:alias w:val="Completed response — Not reported in the supplied CSR: no pharmacoeconomic submission "/>
          <w:id w:val="1900000131"/>
        </w:sdtPr>
        <w:sdtContent>
          <w:r>
            <w:rPr>
              <w:rFonts w:ascii="Arial" w:hAnsi="Arial"/>
              <w:color w:val="000000"/>
              <w:sz w:val="20"/>
            </w:rPr>
            <w:t>Not reported in the supplied CSR: no pharmacoeconomic submission is presented. (CSR pp. 1, 32-36: clinical-trial scope.)</w:t>
          </w:r>
        </w:sdtContent>
      </w:sdt>
    </w:p>
    <w:p>
      <w:pPr>
        <w:pStyle w:val="FigureTitle"/>
        <w:rPr>
          <w:rFonts w:cs="Arial"/>
          <w:lang w:eastAsia="en-CA"/>
        </w:rPr>
      </w:pPr>
      <w:r>
        <w:rPr>
          <w:rFonts w:cs="Arial"/>
          <w:lang w:eastAsia="en-CA"/>
        </w:rPr>
      </w:r>
      <w:bookmarkStart w:id="168" w:name="_Ref180061391"/>
      <w:bookmarkStart w:id="169" w:name="_Toc183441221"/>
      <w:bookmarkStart w:id="170" w:name="_Toc187838555"/>
      <w:bookmarkStart w:id="171" w:name="_Toc201313134"/>
    </w:p>
    <w:p>
      <w:pPr>
        <w:pStyle w:val="FigureTitle"/>
        <w:rPr>
          <w:rFonts w:cs="Arial"/>
        </w:rPr>
      </w:pPr>
      <w:r>
        <w:rPr>
          <w:rFonts w:cs="Arial"/>
          <w:lang w:eastAsia="en-CA"/>
        </w:rPr>
        <w:t xml:space="preserve">Figure </w:t>
      </w:r>
      <w:r>
        <w:rPr>
          <w:rFonts w:cs="Arial"/>
          <w:i/>
          <w:iCs/>
          <w:lang w:eastAsia="en-CA"/>
        </w:rPr>
        <w:fldChar w:fldCharType="begin"/>
      </w:r>
      <w:r>
        <w:rPr>
          <w:rFonts w:cs="Arial"/>
          <w:i/>
          <w:iCs/>
          <w:lang w:eastAsia="en-CA"/>
        </w:rPr>
        <w:instrText xml:space="preserve"> SEQ Figure \* ARABIC </w:instrText>
      </w:r>
      <w:r>
        <w:rPr>
          <w:rFonts w:cs="Arial"/>
          <w:i/>
          <w:iCs/>
          <w:lang w:eastAsia="en-CA"/>
        </w:rPr>
        <w:fldChar w:fldCharType="separate"/>
      </w:r>
      <w:r>
        <w:rPr>
          <w:rFonts w:cs="Arial"/>
          <w:i/>
          <w:iCs/>
          <w:lang w:eastAsia="en-CA"/>
        </w:rPr>
        <w:t>1</w:t>
      </w:r>
      <w:r>
        <w:rPr>
          <w:rFonts w:cs="Arial"/>
          <w:i/>
          <w:iCs/>
          <w:lang w:eastAsia="en-CA"/>
        </w:rPr>
        <w:fldChar w:fldCharType="end"/>
      </w:r>
      <w:bookmarkEnd w:id="168"/>
      <w:r>
        <w:rPr>
          <w:rFonts w:cs="Arial"/>
          <w:lang w:eastAsia="en-CA"/>
        </w:rPr>
        <w:t>:</w:t>
      </w:r>
      <w:r>
        <w:rPr>
          <w:rFonts w:cs="Arial"/>
        </w:rPr>
        <w:t xml:space="preserve"> Model Structure</w:t>
      </w:r>
      <w:bookmarkEnd w:id="169"/>
      <w:bookmarkEnd w:id="170"/>
      <w:bookmarkEnd w:id="171"/>
    </w:p>
    <w:p>
      <w:pPr>
        <w:pStyle w:val="BodyCopyWorking"/>
        <w:keepNext w:val="0"/>
      </w:pPr>
      <w:sdt>
        <w:sdtPr>
          <w:alias w:val="Completed response — Not reported in the supplied CSR: no pharmacoeconomic submission "/>
          <w:id w:val="1900000132"/>
        </w:sdtPr>
        <w:sdtContent>
          <w:r>
            <w:rPr>
              <w:rFonts w:ascii="Arial" w:hAnsi="Arial"/>
              <w:color w:val="000000"/>
              <w:sz w:val="20"/>
            </w:rPr>
            <w:t>Not reported in the supplied CSR: no pharmacoeconomic submission is presented. (CSR pp. 1, 32-36: clinical-trial scope.)</w:t>
          </w:r>
        </w:sdtContent>
      </w:sdt>
    </w:p>
    <w:p>
      <w:pPr>
        <w:pStyle w:val="Normal"/>
        <w:rPr>
          <w:rFonts w:ascii="Arial" w:hAnsi="Arial" w:cs="Arial"/>
          <w:i/>
          <w:iCs/>
          <w:sz w:val="18"/>
          <w:szCs w:val="18"/>
        </w:rPr>
      </w:pPr>
      <w:r>
        <w:rPr>
          <w:rFonts w:cs="Arial" w:ascii="Arial" w:hAnsi="Arial"/>
          <w:sz w:val="18"/>
          <w:szCs w:val="18"/>
        </w:rPr>
        <w:t xml:space="preserve">Alt text: </w:t>
      </w:r>
      <w:r>
        <w:rPr>
          <w:rFonts w:cs="Arial" w:ascii="Arial" w:hAnsi="Arial"/>
          <w:i/>
          <w:iCs/>
          <w:color w:val="C00000"/>
          <w:sz w:val="18"/>
          <w:szCs w:val="18"/>
        </w:rPr>
        <w:t>Provide alt-text describing the figure.</w:t>
      </w:r>
    </w:p>
    <w:p>
      <w:pPr>
        <w:pStyle w:val="BodyCopyWorking"/>
        <w:keepNext w:val="0"/>
      </w:pPr>
      <w:sdt>
        <w:sdtPr>
          <w:alias w:val="Completed response — Not reported in the supplied CSR: no pharmacoeconomic submission "/>
          <w:id w:val="1900000133"/>
        </w:sdtPr>
        <w:sdtContent>
          <w:r>
            <w:rPr>
              <w:rFonts w:ascii="Arial" w:hAnsi="Arial"/>
              <w:color w:val="000000"/>
              <w:sz w:val="20"/>
            </w:rPr>
            <w:t>Not reported in the supplied CSR: no pharmacoeconomic submission is presented. (CSR pp. 1, 32-36: clinical-trial scope.)</w:t>
          </w:r>
        </w:sdtContent>
      </w:sdt>
    </w:p>
    <w:p>
      <w:pPr>
        <w:pStyle w:val="TableFooterCADTH"/>
        <w:rPr>
          <w:color w:val="FF0000"/>
        </w:rPr>
      </w:pPr>
      <w:r>
        <w:rPr>
          <w:color w:val="FF0000"/>
        </w:rPr>
      </w:r>
    </w:p>
    <w:p>
      <w:pPr>
        <w:pStyle w:val="TableFooterCADTH"/>
        <w:rPr>
          <w:color w:val="FF0000"/>
        </w:rPr>
      </w:pPr>
      <w:r>
        <w:rPr>
          <w:color w:val="FF0000"/>
        </w:rPr>
      </w:r>
    </w:p>
    <w:p>
      <w:pPr>
        <w:pStyle w:val="TableFooterCADTH"/>
        <w:rPr>
          <w:i/>
          <w:iCs/>
          <w:color w:val="C00000"/>
          <w:sz w:val="18"/>
          <w:szCs w:val="18"/>
        </w:rPr>
      </w:pPr>
      <w:r>
        <w:rPr>
          <w:color w:val="C00000"/>
        </w:rPr>
        <w:t>Abbreviations,</w:t>
      </w:r>
      <w:r>
        <w:rPr>
          <w:i/>
          <w:color w:val="C00000"/>
        </w:rPr>
        <w:t xml:space="preserve"> </w:t>
      </w:r>
      <w:r>
        <w:rPr>
          <w:i/>
          <w:iCs/>
          <w:color w:val="C00000"/>
        </w:rPr>
        <w:t>add as required (all abbreviations in the figure must be described here).</w:t>
      </w:r>
    </w:p>
    <w:p>
      <w:pPr>
        <w:pStyle w:val="BodyCopyWorking"/>
        <w:keepNext w:val="0"/>
      </w:pPr>
      <w:sdt>
        <w:sdtPr>
          <w:alias w:val="Completed response — Not reported in the supplied CSR: no pharmacoeconomic submission "/>
          <w:id w:val="1900000134"/>
        </w:sdtPr>
        <w:sdtContent>
          <w:r>
            <w:rPr>
              <w:rFonts w:ascii="Arial" w:hAnsi="Arial"/>
              <w:color w:val="000000"/>
              <w:sz w:val="20"/>
            </w:rPr>
            <w:t>Not reported in the supplied CSR: no pharmacoeconomic submission is presented. (CSR pp. 1, 32-36: clinical-trial scope.)</w:t>
          </w:r>
        </w:sdtContent>
      </w:sdt>
    </w:p>
    <w:p>
      <w:pPr>
        <w:pStyle w:val="Normal"/>
        <w:rPr>
          <w:rFonts w:ascii="Arial" w:hAnsi="Arial" w:cs="Arial"/>
        </w:rPr>
      </w:pPr>
      <w:r>
        <w:rPr>
          <w:rFonts w:cs="Arial" w:ascii="Arial" w:hAnsi="Arial"/>
        </w:rPr>
      </w:r>
    </w:p>
    <w:p>
      <w:pPr>
        <w:pStyle w:val="Normal"/>
        <w:rPr/>
      </w:pPr>
      <w:r>
        <w:rPr/>
      </w:r>
    </w:p>
    <w:p>
      <w:pPr>
        <w:pStyle w:val="Normal"/>
        <w:spacing w:lineRule="auto" w:line="276"/>
        <w:rPr>
          <w:rFonts w:ascii="Arial" w:hAnsi="Arial" w:cs="Arial"/>
          <w:color w:val="C00000"/>
          <w:sz w:val="20"/>
          <w:szCs w:val="20"/>
        </w:rPr>
      </w:pPr>
      <w:r>
        <w:rPr>
          <w:rFonts w:cs="Arial" w:ascii="Arial" w:hAnsi="Arial"/>
          <w:color w:val="C00000"/>
          <w:sz w:val="20"/>
          <w:szCs w:val="20"/>
        </w:rPr>
      </w:r>
      <w:r>
        <w:br w:type="page"/>
      </w:r>
    </w:p>
    <w:p>
      <w:pPr>
        <w:pStyle w:val="SectionHeadingWorking"/>
        <w:spacing w:before="0" w:after="120"/>
        <w:rPr/>
      </w:pPr>
      <w:bookmarkStart w:id="172" w:name="_Toc13042117"/>
      <w:bookmarkStart w:id="173" w:name="_Toc216182126"/>
      <w:bookmarkStart w:id="174" w:name="_Toc436038462"/>
      <w:bookmarkStart w:id="175" w:name="_Toc93390196"/>
      <w:bookmarkStart w:id="176" w:name="__RefHeading___Toc6176_3477833118"/>
      <w:bookmarkEnd w:id="103"/>
      <w:bookmarkEnd w:id="176"/>
      <w:r>
        <w:rPr/>
        <w:t xml:space="preserve">Appendix </w:t>
      </w:r>
      <w:r>
        <w:rPr/>
        <w:fldChar w:fldCharType="begin"/>
      </w:r>
      <w:r>
        <w:rPr/>
        <w:instrText xml:space="preserve"> SEQ Appendix \* ARABIC </w:instrText>
      </w:r>
      <w:r>
        <w:rPr/>
        <w:fldChar w:fldCharType="separate"/>
      </w:r>
      <w:r>
        <w:rPr/>
        <w:t>1</w:t>
      </w:r>
      <w:r>
        <w:rPr/>
        <w:fldChar w:fldCharType="end"/>
      </w:r>
      <w:r>
        <w:rPr/>
        <w:t>:</w:t>
      </w:r>
      <w:bookmarkEnd w:id="175"/>
      <w:r>
        <w:rPr/>
        <w:t xml:space="preserve"> </w:t>
      </w:r>
      <w:bookmarkStart w:id="177" w:name="_Toc436038463"/>
      <w:bookmarkEnd w:id="174"/>
      <w:r>
        <w:rPr/>
        <w:t>Literature Search Strategy</w:t>
      </w:r>
      <w:bookmarkEnd w:id="172"/>
      <w:bookmarkEnd w:id="173"/>
      <w:bookmarkEnd w:id="177"/>
    </w:p>
    <w:p>
      <w:pPr>
        <w:pStyle w:val="paragraph"/>
        <w:spacing w:lineRule="auto" w:line="360" w:beforeAutospacing="0" w:before="0" w:afterAutospacing="0" w:after="0"/>
        <w:textAlignment w:val="baseline"/>
        <w:rPr>
          <w:rStyle w:val="normaltextrun"/>
          <w:rFonts w:ascii="Arial" w:hAnsi="Arial" w:eastAsia="" w:cs="Arial" w:eastAsiaTheme="majorEastAsia"/>
          <w:b/>
          <w:sz w:val="20"/>
          <w:szCs w:val="20"/>
        </w:rPr>
      </w:pPr>
      <w:r>
        <w:rPr>
          <w:rStyle w:val="normaltextrun"/>
          <w:rFonts w:eastAsia="" w:cs="Arial" w:ascii="Arial" w:hAnsi="Arial" w:eastAsiaTheme="majorEastAsia"/>
          <w:b/>
          <w:sz w:val="20"/>
          <w:szCs w:val="20"/>
        </w:rPr>
        <w:t>Example of Literature Search Strategy Reporting</w:t>
      </w:r>
    </w:p>
    <w:p>
      <w:pPr>
        <w:pStyle w:val="paragraph"/>
        <w:spacing w:lineRule="auto" w:line="276" w:beforeAutospacing="0" w:before="0" w:afterAutospacing="0" w:after="0"/>
        <w:rPr>
          <w:rFonts w:ascii="Segoe UI" w:hAnsi="Segoe UI" w:cs="Segoe UI"/>
          <w:color w:val="C00000"/>
          <w:sz w:val="20"/>
          <w:szCs w:val="20"/>
        </w:rPr>
      </w:pPr>
      <w:r>
        <w:rPr>
          <w:rStyle w:val="normaltextrun"/>
          <w:rFonts w:eastAsia="" w:cs="Arial" w:ascii="Arial" w:hAnsi="Arial" w:eastAsiaTheme="majorEastAsia"/>
          <w:b/>
          <w:color w:val="C00000"/>
          <w:sz w:val="20"/>
          <w:szCs w:val="20"/>
        </w:rPr>
        <w:t>Databases</w:t>
      </w:r>
    </w:p>
    <w:p>
      <w:pPr>
        <w:pStyle w:val="BodyCopyWorking"/>
        <w:keepNext w:val="0"/>
      </w:pPr>
      <w:sdt>
        <w:sdtPr>
          <w:alias w:val="Completed response — Not reported in the supplied CSR: no systematic-review methods or"/>
          <w:id w:val="1900000135"/>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Ovid – MEDLINE All (1946-present)</w:t>
      </w:r>
      <w:r>
        <w:rPr>
          <w:rStyle w:val="eop"/>
          <w:color w:val="C00000"/>
          <w:sz w:val="20"/>
          <w:szCs w:val="20"/>
        </w:rPr>
        <w:t> </w:t>
      </w:r>
    </w:p>
    <w:p>
      <w:pPr>
        <w:pStyle w:val="BodyCopyWorking"/>
        <w:keepNext w:val="0"/>
      </w:pPr>
      <w:sdt>
        <w:sdtPr>
          <w:alias w:val="Completed response — Not reported in the supplied CSR: no systematic-review methods or"/>
          <w:id w:val="1900000136"/>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3"/>
        </w:numPr>
        <w:spacing w:lineRule="auto" w:line="276" w:before="0" w:after="0"/>
        <w:ind w:hanging="360" w:start="446"/>
        <w:rPr>
          <w:color w:val="C00000"/>
          <w:sz w:val="20"/>
          <w:szCs w:val="20"/>
        </w:rPr>
      </w:pPr>
      <w:r>
        <w:rPr>
          <w:rStyle w:val="normaltextrun"/>
          <w:color w:val="C00000"/>
          <w:sz w:val="20"/>
          <w:szCs w:val="20"/>
        </w:rPr>
        <w:t>Ovid – Embase (1974-present)</w:t>
      </w:r>
      <w:r>
        <w:rPr>
          <w:rStyle w:val="eop"/>
          <w:color w:val="C00000"/>
          <w:sz w:val="20"/>
          <w:szCs w:val="20"/>
        </w:rPr>
        <w:t> </w:t>
      </w:r>
    </w:p>
    <w:p>
      <w:pPr>
        <w:pStyle w:val="BodyCopyWorking"/>
        <w:keepNext w:val="0"/>
      </w:pPr>
      <w:sdt>
        <w:sdtPr>
          <w:alias w:val="Completed response — Not reported in the supplied CSR: no systematic-review methods or"/>
          <w:id w:val="1900000137"/>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Ovid – Cochrane Central Register of Controlled Trials (CCTR)</w:t>
      </w:r>
      <w:r>
        <w:rPr>
          <w:rStyle w:val="eop"/>
          <w:color w:val="C00000"/>
          <w:sz w:val="20"/>
          <w:szCs w:val="20"/>
        </w:rPr>
        <w:t> </w:t>
      </w:r>
    </w:p>
    <w:p>
      <w:pPr>
        <w:pStyle w:val="BodyCopyWorking"/>
        <w:keepNext w:val="0"/>
      </w:pPr>
      <w:sdt>
        <w:sdtPr>
          <w:alias w:val="Completed response — Not reported in the supplied CSR: no systematic-review methods or"/>
          <w:id w:val="1900000138"/>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EBSCO – CINAHL</w:t>
      </w:r>
      <w:r>
        <w:rPr>
          <w:rStyle w:val="eop"/>
          <w:color w:val="C00000"/>
          <w:sz w:val="20"/>
          <w:szCs w:val="20"/>
        </w:rPr>
        <w:t> </w:t>
      </w:r>
    </w:p>
    <w:p>
      <w:pPr>
        <w:pStyle w:val="BodyCopyWorking"/>
        <w:keepNext w:val="0"/>
      </w:pPr>
      <w:sdt>
        <w:sdtPr>
          <w:alias w:val="Completed response — Not reported in the supplied CSR: no systematic-review methods or"/>
          <w:id w:val="1900000139"/>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Scopus</w:t>
      </w:r>
      <w:r>
        <w:rPr>
          <w:rStyle w:val="eop"/>
          <w:color w:val="C00000"/>
          <w:sz w:val="20"/>
          <w:szCs w:val="20"/>
        </w:rPr>
        <w:t> </w:t>
      </w:r>
    </w:p>
    <w:p>
      <w:pPr>
        <w:pStyle w:val="BodyCopyWorking"/>
        <w:keepNext w:val="0"/>
      </w:pPr>
      <w:sdt>
        <w:sdtPr>
          <w:alias w:val="Completed response — Not reported in the supplied CSR: no systematic-review methods or"/>
          <w:id w:val="1900000140"/>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3"/>
        </w:numPr>
        <w:spacing w:lineRule="auto" w:line="276" w:before="0" w:after="0"/>
        <w:ind w:hanging="360" w:start="432"/>
        <w:rPr>
          <w:rStyle w:val="eop"/>
          <w:color w:val="C00000"/>
          <w:sz w:val="20"/>
          <w:szCs w:val="20"/>
        </w:rPr>
      </w:pPr>
      <w:r>
        <w:rPr>
          <w:rStyle w:val="normaltextrun"/>
          <w:color w:val="C00000"/>
          <w:sz w:val="20"/>
          <w:szCs w:val="20"/>
        </w:rPr>
        <w:t>Web of Science</w:t>
      </w:r>
      <w:r>
        <w:rPr>
          <w:rStyle w:val="eop"/>
          <w:color w:val="C00000"/>
          <w:sz w:val="20"/>
          <w:szCs w:val="20"/>
        </w:rPr>
        <w:t> </w:t>
      </w:r>
    </w:p>
    <w:p>
      <w:pPr>
        <w:pStyle w:val="BodyCopyWorking"/>
        <w:keepNext w:val="0"/>
      </w:pPr>
      <w:sdt>
        <w:sdtPr>
          <w:alias w:val="Completed response — Not reported in the supplied CSR: no systematic-review methods or"/>
          <w:id w:val="1900000141"/>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0"/>
        </w:numPr>
        <w:spacing w:lineRule="auto" w:line="276" w:before="0" w:after="0"/>
        <w:ind w:hanging="0" w:start="432"/>
        <w:rPr>
          <w:color w:val="C00000"/>
          <w:sz w:val="20"/>
          <w:szCs w:val="20"/>
        </w:rPr>
      </w:pPr>
      <w:r>
        <w:rPr>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color w:val="C00000"/>
          <w:sz w:val="20"/>
          <w:szCs w:val="20"/>
        </w:rPr>
        <w:t>Note: Subject headings and search fields have been customized for each database. Duplicates between databases were removed in Ovid. Other duplicates were removed using bibliographic management software.</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42"/>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Date of searches</w:t>
      </w:r>
      <w:r>
        <w:rPr>
          <w:rStyle w:val="normaltextrun"/>
          <w:rFonts w:eastAsia="" w:cs="Arial" w:ascii="Arial" w:hAnsi="Arial" w:eastAsiaTheme="majorEastAsia"/>
          <w:color w:val="C00000"/>
          <w:sz w:val="20"/>
          <w:szCs w:val="20"/>
        </w:rPr>
        <w:t>: [Provide search date. If dates vary, provide search date for each database]</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43"/>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Search filters applied</w:t>
      </w:r>
      <w:r>
        <w:rPr>
          <w:rStyle w:val="normaltextrun"/>
          <w:rFonts w:eastAsia="" w:cs="Arial" w:ascii="Arial" w:hAnsi="Arial" w:eastAsiaTheme="majorEastAsia"/>
          <w:color w:val="C00000"/>
          <w:sz w:val="20"/>
          <w:szCs w:val="20"/>
        </w:rPr>
        <w:t>: Systematic reviews; meta-analyses; network meta-analyses; health technology assessments; guidelines; overview of reviews; randomized controlled trials; controlled clinical trials; qualitative studies; observational studies; economic evaluations; costs and cost analysis studies, and quality of life studies.</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44"/>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Style w:val="normaltextrun"/>
          <w:rFonts w:ascii="Arial" w:hAnsi="Arial" w:eastAsia="" w:cs="Arial" w:eastAsiaTheme="majorEastAsia"/>
          <w:b/>
          <w:sz w:val="20"/>
          <w:szCs w:val="20"/>
        </w:rPr>
      </w:pPr>
      <w:r>
        <w:rPr>
          <w:rFonts w:eastAsia="" w:cs="Arial" w:eastAsiaTheme="majorEastAsia" w:ascii="Arial" w:hAnsi="Arial"/>
          <w:b/>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Limits</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45"/>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3"/>
        </w:numPr>
        <w:ind w:hanging="360" w:start="432"/>
        <w:rPr>
          <w:color w:val="C00000"/>
          <w:sz w:val="20"/>
          <w:szCs w:val="20"/>
        </w:rPr>
      </w:pPr>
      <w:r>
        <w:rPr>
          <w:rStyle w:val="normaltextrun"/>
          <w:color w:val="C00000"/>
          <w:sz w:val="20"/>
          <w:szCs w:val="20"/>
        </w:rPr>
        <w:t>Publication date limit: none</w:t>
      </w:r>
      <w:r>
        <w:rPr>
          <w:rStyle w:val="eop"/>
          <w:color w:val="C00000"/>
          <w:sz w:val="20"/>
          <w:szCs w:val="20"/>
        </w:rPr>
        <w:t> </w:t>
      </w:r>
    </w:p>
    <w:p>
      <w:pPr>
        <w:pStyle w:val="BodyCopyWorking"/>
        <w:keepNext w:val="0"/>
      </w:pPr>
      <w:sdt>
        <w:sdtPr>
          <w:alias w:val="Completed response — Not reported in the supplied CSR: no systematic-review methods or"/>
          <w:id w:val="1900000146"/>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3"/>
        </w:numPr>
        <w:ind w:hanging="360" w:start="432"/>
        <w:rPr>
          <w:color w:val="C00000"/>
          <w:sz w:val="20"/>
          <w:szCs w:val="20"/>
        </w:rPr>
      </w:pPr>
      <w:r>
        <w:rPr>
          <w:rStyle w:val="normaltextrun"/>
          <w:color w:val="C00000"/>
          <w:sz w:val="20"/>
          <w:szCs w:val="20"/>
        </w:rPr>
        <w:t>Language limit: none</w:t>
      </w:r>
      <w:r>
        <w:rPr>
          <w:rStyle w:val="eop"/>
          <w:color w:val="C00000"/>
          <w:sz w:val="20"/>
          <w:szCs w:val="20"/>
        </w:rPr>
        <w:t> </w:t>
      </w:r>
    </w:p>
    <w:p>
      <w:pPr>
        <w:pStyle w:val="BodyCopyWorking"/>
        <w:keepNext w:val="0"/>
      </w:pPr>
      <w:sdt>
        <w:sdtPr>
          <w:alias w:val="Completed response — Not reported in the supplied CSR: no systematic-review methods or"/>
          <w:id w:val="1900000147"/>
        </w:sdtPr>
        <w:sdtContent>
          <w:r>
            <w:rPr>
              <w:rFonts w:ascii="Arial" w:hAnsi="Arial"/>
              <w:color w:val="000000"/>
              <w:sz w:val="20"/>
            </w:rPr>
            <w:t>Not reported in the supplied CSR: no systematic-review methods or results are provided. (CSR pp. 1, 32-36: single-trial scope.)</w:t>
          </w:r>
        </w:sdtContent>
      </w:sdt>
    </w:p>
    <w:p>
      <w:pPr>
        <w:pStyle w:val="Bulletedlistlvl1Working"/>
        <w:numPr>
          <w:ilvl w:val="0"/>
          <w:numId w:val="3"/>
        </w:numPr>
        <w:ind w:hanging="360" w:start="432"/>
        <w:rPr>
          <w:color w:val="C00000"/>
          <w:sz w:val="20"/>
          <w:szCs w:val="20"/>
        </w:rPr>
      </w:pPr>
      <w:r>
        <w:rPr>
          <w:rStyle w:val="normaltextrun"/>
          <w:color w:val="C00000"/>
          <w:sz w:val="20"/>
          <w:szCs w:val="20"/>
        </w:rPr>
        <w:t>Humans </w:t>
      </w:r>
      <w:r>
        <w:rPr>
          <w:rStyle w:val="eop"/>
          <w:color w:val="C00000"/>
          <w:sz w:val="20"/>
          <w:szCs w:val="20"/>
        </w:rPr>
        <w:t> </w:t>
      </w:r>
    </w:p>
    <w:p>
      <w:pPr>
        <w:pStyle w:val="BodyCopyWorking"/>
        <w:keepNext w:val="0"/>
      </w:pPr>
      <w:sdt>
        <w:sdtPr>
          <w:alias w:val="Completed response — Not reported in the supplied CSR: no systematic-review methods or"/>
          <w:id w:val="1900000148"/>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bCs/>
          <w:color w:val="C00000"/>
          <w:sz w:val="20"/>
          <w:szCs w:val="20"/>
        </w:rPr>
        <w:t>Database Search Strategies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Provide search strategies</w:t>
      </w:r>
    </w:p>
    <w:p>
      <w:pPr>
        <w:pStyle w:val="BodyCopyWorking"/>
        <w:keepNext w:val="0"/>
      </w:pPr>
      <w:sdt>
        <w:sdtPr>
          <w:alias w:val="Completed response — Not reported in the supplied CSR: no systematic-review methods or"/>
          <w:id w:val="1900000149"/>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ind w:hanging="360" w:start="720"/>
        <w:textAlignment w:val="baseline"/>
        <w:rPr>
          <w:rFonts w:ascii="Segoe UI" w:hAnsi="Segoe UI" w:cs="Segoe UI"/>
          <w:sz w:val="20"/>
          <w:szCs w:val="20"/>
        </w:rPr>
      </w:pPr>
      <w:r>
        <w:rPr>
          <w:rStyle w:val="eop"/>
          <w:rFonts w:eastAsia="" w:cs="Arial" w:ascii="Arial" w:hAnsi="Arial" w:eastAsiaTheme="majorEastAsia"/>
          <w:sz w:val="20"/>
          <w:szCs w:val="20"/>
        </w:rPr>
        <w:t> </w:t>
      </w:r>
    </w:p>
    <w:p>
      <w:pPr>
        <w:pStyle w:val="paragraph"/>
        <w:spacing w:beforeAutospacing="0" w:before="0" w:afterAutospacing="0" w:after="0"/>
        <w:textAlignment w:val="baseline"/>
        <w:rPr>
          <w:rStyle w:val="normaltextrun"/>
          <w:rFonts w:ascii="Segoe UI" w:hAnsi="Segoe UI" w:cs="Segoe UI"/>
          <w:sz w:val="20"/>
          <w:szCs w:val="20"/>
        </w:rPr>
      </w:pPr>
      <w:r>
        <w:rPr>
          <w:rStyle w:val="normaltextrun"/>
          <w:rFonts w:eastAsia="" w:cs="Arial" w:ascii="Arial" w:hAnsi="Arial" w:eastAsiaTheme="majorEastAsia"/>
          <w:b/>
          <w:bCs/>
          <w:color w:val="C00000"/>
          <w:sz w:val="20"/>
          <w:szCs w:val="20"/>
        </w:rPr>
        <w:t>Clinical Trials Registries</w:t>
      </w:r>
      <w:r>
        <w:rPr>
          <w:rStyle w:val="normaltextrun"/>
          <w:rFonts w:eastAsia="" w:eastAsiaTheme="majorEastAsia"/>
          <w:b/>
          <w:bCs/>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ClinicalTrials.gov</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50"/>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Style w:val="normaltextrun"/>
          <w:rFonts w:ascii="Arial" w:hAnsi="Arial" w:eastAsia="" w:cs="Arial" w:eastAsiaTheme="majorEastAsia"/>
          <w:color w:val="C00000"/>
          <w:sz w:val="20"/>
          <w:szCs w:val="20"/>
        </w:rPr>
      </w:pPr>
      <w:r>
        <w:rPr>
          <w:rStyle w:val="normaltextrun"/>
          <w:rFonts w:eastAsia="" w:cs="Arial" w:ascii="Arial" w:hAnsi="Arial" w:eastAsiaTheme="majorEastAsia"/>
          <w:color w:val="C00000"/>
          <w:sz w:val="20"/>
          <w:szCs w:val="20"/>
        </w:rPr>
        <w:t>Produced by the U.S. National Library of Medicine.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p>
    <w:p>
      <w:pPr>
        <w:pStyle w:val="BodyCopyWorking"/>
        <w:keepNext w:val="0"/>
      </w:pPr>
      <w:sdt>
        <w:sdtPr>
          <w:alias w:val="Completed response — Not reported in the supplied CSR: no systematic-review methods or"/>
          <w:id w:val="1900000151"/>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Style w:val="normaltextrun"/>
          <w:rFonts w:ascii="Segoe UI" w:hAnsi="Segoe UI" w:cs="Segoe UI"/>
          <w:color w:val="C00000"/>
          <w:sz w:val="20"/>
          <w:szCs w:val="20"/>
        </w:rPr>
      </w:pPr>
      <w:r>
        <w:rPr>
          <w:rFonts w:cs="Segoe UI" w:ascii="Segoe UI" w:hAnsi="Segoe U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WHO ICTRP</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52"/>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International Clinical Trials Registry Platform, produced by the World Health Organization.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53"/>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Health Canada’s Clinical Trials Database </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54"/>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Produced by Health Canada.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55"/>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EU Clinical Trials Register</w:t>
      </w:r>
      <w:r>
        <w:rPr>
          <w:rStyle w:val="eop"/>
          <w:rFonts w:eastAsia="" w:cs="Arial" w:ascii="Arial" w:hAnsi="Arial" w:eastAsiaTheme="majorEastAsia"/>
          <w:color w:val="C00000"/>
          <w:sz w:val="20"/>
          <w:szCs w:val="20"/>
        </w:rPr>
        <w:t> </w:t>
      </w:r>
    </w:p>
    <w:p>
      <w:pPr>
        <w:pStyle w:val="BodyCopyWorking"/>
        <w:keepNext w:val="0"/>
      </w:pPr>
      <w:sdt>
        <w:sdtPr>
          <w:alias w:val="Completed response — Not reported in the supplied CSR: no systematic-review methods or"/>
          <w:id w:val="1900000156"/>
        </w:sdtPr>
        <w:sdtContent>
          <w:r>
            <w:rPr>
              <w:rFonts w:ascii="Arial" w:hAnsi="Arial"/>
              <w:color w:val="000000"/>
              <w:sz w:val="20"/>
            </w:rPr>
            <w:t>Not reported in the supplied CSR: no systematic-review methods or results are provided. (CSR pp. 1, 32-36: single-trial scope.)</w:t>
          </w:r>
        </w:sdtContent>
      </w:sdt>
    </w:p>
    <w:p>
      <w:pPr>
        <w:pStyle w:val="paragraph"/>
        <w:spacing w:beforeAutospacing="0" w:before="0" w:afterAutospacing="0" w:after="0"/>
        <w:textAlignment w:val="baseline"/>
        <w:rPr>
          <w:rFonts w:ascii="Segoe UI" w:hAnsi="Segoe UI" w:cs="Segoe UI"/>
          <w:color w:val="C00000"/>
          <w:sz w:val="20"/>
          <w:szCs w:val="20"/>
        </w:rPr>
      </w:pPr>
      <w:bookmarkStart w:id="178" w:name="_Ref331062246"/>
      <w:bookmarkStart w:id="179" w:name="_Ref331062263"/>
      <w:bookmarkStart w:id="180" w:name="_Ref331062267"/>
      <w:bookmarkStart w:id="181" w:name="_Ref331062275"/>
      <w:bookmarkStart w:id="182" w:name="_Ref331062278"/>
      <w:bookmarkStart w:id="183" w:name="_Ref331063237"/>
      <w:bookmarkStart w:id="184" w:name="_Toc436038464"/>
      <w:r>
        <w:rPr>
          <w:rStyle w:val="normaltextrun"/>
          <w:rFonts w:eastAsia="" w:cs="Arial" w:ascii="Arial" w:hAnsi="Arial" w:eastAsiaTheme="majorEastAsia"/>
          <w:color w:val="C00000"/>
          <w:sz w:val="20"/>
          <w:szCs w:val="20"/>
        </w:rPr>
        <w:t>European Union Clinical Trials Register, produced by the European Union. Targeted search used to capture registered clinical trials. [Search terms – List search terms]</w:t>
      </w:r>
      <w:r>
        <w:rPr>
          <w:rStyle w:val="eop"/>
          <w:rFonts w:eastAsia="" w:cs="Arial" w:ascii="Arial" w:hAnsi="Arial" w:eastAsiaTheme="majorEastAsia"/>
          <w:color w:val="C00000"/>
          <w:sz w:val="20"/>
          <w:szCs w:val="20"/>
        </w:rPr>
        <w:t> </w:t>
      </w:r>
      <w:bookmarkEnd w:id="178"/>
      <w:bookmarkEnd w:id="179"/>
      <w:bookmarkEnd w:id="180"/>
      <w:bookmarkEnd w:id="181"/>
      <w:bookmarkEnd w:id="182"/>
      <w:bookmarkEnd w:id="183"/>
      <w:bookmarkEnd w:id="184"/>
    </w:p>
    <w:p>
      <w:pPr>
        <w:pStyle w:val="Normal"/>
        <w:rPr/>
      </w:pPr>
      <w:r>
        <w:rPr/>
        <w:t xml:space="preserve"> </w:t>
      </w:r>
      <w:r>
        <w:br w:type="page"/>
      </w:r>
    </w:p>
    <w:p>
      <w:pPr>
        <w:pStyle w:val="SectionHeadingWorking"/>
        <w:spacing w:before="0" w:after="120"/>
        <w:rPr/>
      </w:pPr>
      <w:bookmarkStart w:id="185" w:name="_Toc13042118"/>
      <w:bookmarkStart w:id="186" w:name="_Toc216182127"/>
      <w:bookmarkStart w:id="187" w:name="__RefHeading___Toc6174_3477833118"/>
      <w:bookmarkEnd w:id="187"/>
      <w:r>
        <w:rPr/>
        <w:t xml:space="preserve">Appendix </w:t>
      </w:r>
      <w:r>
        <w:rPr/>
        <w:fldChar w:fldCharType="begin"/>
      </w:r>
      <w:r>
        <w:rPr/>
        <w:instrText xml:space="preserve"> SEQ Appendix \* ARABIC </w:instrText>
      </w:r>
      <w:r>
        <w:rPr/>
        <w:fldChar w:fldCharType="separate"/>
      </w:r>
      <w:r>
        <w:rPr/>
        <w:t>2</w:t>
      </w:r>
      <w:r>
        <w:rPr/>
        <w:fldChar w:fldCharType="end"/>
      </w:r>
      <w:r>
        <w:rPr/>
        <w:t>: List of Excluded Studies</w:t>
      </w:r>
      <w:bookmarkEnd w:id="185"/>
      <w:bookmarkEnd w:id="186"/>
    </w:p>
    <w:p>
      <w:pPr>
        <w:pStyle w:val="BodyCopyWorking"/>
        <w:rPr>
          <w:b/>
          <w:bCs/>
          <w:sz w:val="20"/>
          <w:szCs w:val="20"/>
        </w:rPr>
      </w:pPr>
      <w:bookmarkStart w:id="188" w:name="_Toc13042135"/>
      <w:r>
        <w:rPr>
          <w:b/>
          <w:bCs/>
          <w:sz w:val="20"/>
          <w:szCs w:val="20"/>
        </w:rPr>
      </w:r>
      <w:bookmarkEnd w:id="188"/>
      <w:r>
        <w:t>Table 31: Excluded Studies</w:t>
      </w:r>
    </w:p>
    <w:tbl>
      <w:tblPr>
        <w:tblW w:w="50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470"/>
        <w:gridCol w:w="7068"/>
      </w:tblGrid>
      <w:tr>
        <w:trPr>
          <w:tblHeader/>
          <w:cantSplit/>
        </w:trPr>
        <w:tc>
          <w:tcPr>
            <w:tcW w:w="3470"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Reference</w:t>
            </w:r>
          </w:p>
        </w:tc>
        <w:tc>
          <w:tcPr>
            <w:tcW w:w="70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Reason for Exclusion</w:t>
            </w:r>
          </w:p>
        </w:tc>
      </w:tr>
      <w:tr>
        <w:trPr>
          <w:cantSplit/>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Excluded studies — reference 1"/>
                <w:id w:val="390713565"/>
              </w:sdtPr>
              <w:sdtContent>
                <w:r>
                  <w:rPr>
                    <w:rFonts w:ascii="Arial" w:hAnsi="Arial" w:cs="Arial"/>
                    <w:sz w:val="18"/>
                    <w:color w:val="000000"/>
                  </w:rPr>
                  <w:t xml:space="preserve">Not reported in the supplied CSR: no systematic-review methods or results are provided. (CSR pp. 1, 32-36: single-trial scope.)</w:t>
                </w:r>
              </w:sdtContent>
            </w:sdt>
            <w:r>
              <w:rPr>
                <w:color w:val="C00000"/>
              </w:rPr>
              <w:t>Add reference</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Excluded studies — reason 1"/>
                <w:id w:val="750533216"/>
              </w:sdtPr>
              <w:sdtContent>
                <w:r>
                  <w:rPr>
                    <w:rFonts w:ascii="Arial" w:hAnsi="Arial" w:cs="Arial"/>
                    <w:sz w:val="18"/>
                    <w:color w:val="000000"/>
                  </w:rPr>
                  <w:t xml:space="preserve">Not reported in the supplied CSR: no systematic-review methods or results are provided. (CSR pp. 1, 32-36: single-trial scope.)</w:t>
                </w:r>
              </w:sdtContent>
            </w:sdt>
            <w:r>
              <w:rPr>
                <w:color w:val="C00000"/>
              </w:rPr>
              <w:t>When identifying the reason for exclusion, please use a similar format as the following examples:</w:t>
            </w:r>
          </w:p>
          <w:p>
            <w:pPr>
              <w:pStyle w:val="TableBodyCopyCADTH"/>
              <w:numPr>
                <w:ilvl w:val="3"/>
                <w:numId w:val="4"/>
              </w:numPr>
              <w:ind w:hanging="284" w:start="316"/>
              <w:rPr>
                <w:color w:val="C00000"/>
              </w:rPr>
            </w:pPr>
            <w:r>
              <w:rPr>
                <w:color w:val="C00000"/>
              </w:rPr>
              <w:t xml:space="preserve">Study design </w:t>
            </w:r>
          </w:p>
          <w:p>
            <w:pPr>
              <w:pStyle w:val="TableBodyCopyCADTH"/>
              <w:numPr>
                <w:ilvl w:val="3"/>
                <w:numId w:val="4"/>
              </w:numPr>
              <w:ind w:hanging="284" w:start="316"/>
              <w:rPr>
                <w:color w:val="C00000"/>
              </w:rPr>
            </w:pPr>
            <w:r>
              <w:rPr>
                <w:color w:val="C00000"/>
              </w:rPr>
              <w:t>Intervention (if the intervention in the study does not meet that identified in the systematic review protocol, for example, different dose, formulation, etc.)</w:t>
            </w:r>
          </w:p>
          <w:p>
            <w:pPr>
              <w:pStyle w:val="TableBodyCopyCADTH"/>
              <w:numPr>
                <w:ilvl w:val="3"/>
                <w:numId w:val="4"/>
              </w:numPr>
              <w:ind w:hanging="284" w:start="316"/>
              <w:rPr>
                <w:color w:val="C00000"/>
              </w:rPr>
            </w:pPr>
            <w:r>
              <w:rPr>
                <w:color w:val="C00000"/>
              </w:rPr>
              <w:t>Comparator</w:t>
            </w:r>
          </w:p>
          <w:p>
            <w:pPr>
              <w:pStyle w:val="TableBodyCopyCADTH"/>
              <w:numPr>
                <w:ilvl w:val="3"/>
                <w:numId w:val="4"/>
              </w:numPr>
              <w:ind w:hanging="284" w:start="316"/>
              <w:rPr>
                <w:color w:val="C00000"/>
              </w:rPr>
            </w:pPr>
            <w:r>
              <w:rPr>
                <w:color w:val="C00000"/>
              </w:rPr>
              <w:t>Study population</w:t>
            </w:r>
          </w:p>
          <w:p>
            <w:pPr>
              <w:pStyle w:val="TableBodyCopyCADTH"/>
              <w:numPr>
                <w:ilvl w:val="3"/>
                <w:numId w:val="4"/>
              </w:numPr>
              <w:ind w:hanging="284" w:start="316"/>
              <w:rPr>
                <w:color w:val="C00000"/>
              </w:rPr>
            </w:pPr>
            <w:r>
              <w:rPr>
                <w:color w:val="C00000"/>
              </w:rPr>
              <w:t>Duplicate study</w:t>
            </w:r>
          </w:p>
        </w:tc>
      </w:tr>
      <w:tr>
        <w:trPr>
          <w:cantSplit/>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pPr>
            <w:r>
              <w:rPr>
                <w:color w:val="C00000"/>
              </w:rPr>
              <w:t>As above</w:t>
            </w:r>
          </w:p>
          <w:p>
            <w:pPr>
              <w:keepNext w:val="0"/>
            </w:pPr>
            <w:sdt>
              <w:sdtPr>
                <w:alias w:val="Completed response — Not reported in the supplied CSR: no systematic-review methods or"/>
                <w:id w:val="1900000157"/>
              </w:sdtPr>
              <w:sdtContent>
                <w:r>
                  <w:rPr>
                    <w:rFonts w:ascii="Arial" w:hAnsi="Arial"/>
                    <w:color w:val="000000"/>
                    <w:sz w:val="18"/>
                  </w:rPr>
                  <w:t>Not reported in the supplied CSR: no systematic-review methods or results are provided. (CSR pp. 1, 32-36: single-trial scope.)</w:t>
                </w:r>
              </w:sdtContent>
            </w:sdt>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As above</w:t>
            </w:r>
          </w:p>
          <w:p>
            <w:pPr>
              <w:keepNext w:val="0"/>
            </w:pPr>
            <w:sdt>
              <w:sdtPr>
                <w:alias w:val="Completed response — Not reported in the supplied CSR: no systematic-review methods or"/>
                <w:id w:val="1900000158"/>
              </w:sdtPr>
              <w:sdtContent>
                <w:r>
                  <w:rPr>
                    <w:rFonts w:ascii="Arial" w:hAnsi="Arial"/>
                    <w:color w:val="000000"/>
                    <w:sz w:val="18"/>
                  </w:rPr>
                  <w:t>Not reported in the supplied CSR: no systematic-review methods or results are provided. (CSR pp. 1, 32-36: single-trial scope.)</w:t>
                </w:r>
              </w:sdtContent>
            </w:sdt>
          </w:p>
        </w:tc>
      </w:tr>
      <w:tr>
        <w:trPr>
          <w:cantSplit/>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necessary</w:t>
            </w:r>
          </w:p>
          <w:p>
            <w:pPr>
              <w:keepNext w:val="0"/>
            </w:pPr>
            <w:sdt>
              <w:sdtPr>
                <w:alias w:val="Completed response — Not reported in the supplied CSR: no systematic-review methods or"/>
                <w:id w:val="1900000159"/>
              </w:sdtPr>
              <w:sdtContent>
                <w:r>
                  <w:rPr>
                    <w:rFonts w:ascii="Arial" w:hAnsi="Arial"/>
                    <w:color w:val="000000"/>
                    <w:sz w:val="18"/>
                  </w:rPr>
                  <w:t>Not reported in the supplied CSR: no systematic-review methods or results are provided. (CSR pp. 1, 32-36: single-trial scope.)</w:t>
                </w:r>
              </w:sdtContent>
            </w:sdt>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pPr>
            <w:r>
              <w:rPr/>
            </w:r>
          </w:p>
          <w:p>
            <w:pPr>
              <w:keepNext w:val="0"/>
            </w:pPr>
            <w:sdt>
              <w:sdtPr>
                <w:alias w:val="Completed response — Not reported in the supplied CSR: no systematic-review methods or"/>
                <w:id w:val="1900000160"/>
              </w:sdtPr>
              <w:sdtContent>
                <w:r>
                  <w:rPr>
                    <w:rFonts w:ascii="Arial" w:hAnsi="Arial"/>
                    <w:color w:val="000000"/>
                    <w:sz w:val="18"/>
                  </w:rPr>
                  <w:t>Not reported in the supplied CSR: no systematic-review methods or results are provided. (CSR pp. 1, 32-36: single-trial scope.)</w:t>
                </w:r>
              </w:sdtContent>
            </w:sdt>
          </w:p>
        </w:tc>
      </w:tr>
    </w:tbl>
    <w:p>
      <w:pPr>
        <w:pStyle w:val="Normal"/>
        <w:rPr>
          <w:rFonts w:ascii="Arial" w:hAnsi="Arial" w:cs="Arial"/>
          <w:color w:val="000000"/>
          <w:sz w:val="18"/>
          <w:szCs w:val="18"/>
          <w:lang w:val="en-US"/>
        </w:rPr>
      </w:pPr>
      <w:r>
        <w:rPr>
          <w:rFonts w:cs="Arial" w:ascii="Arial" w:hAnsi="Arial"/>
          <w:color w:val="000000"/>
          <w:sz w:val="18"/>
          <w:szCs w:val="18"/>
          <w:lang w:val="en-US"/>
        </w:rPr>
      </w:r>
    </w:p>
    <w:p>
      <w:pPr>
        <w:pStyle w:val="Normal"/>
        <w:rPr/>
      </w:pPr>
      <w:r>
        <w:rPr/>
      </w:r>
      <w:r>
        <w:br w:type="page"/>
      </w:r>
    </w:p>
    <w:p>
      <w:pPr>
        <w:pStyle w:val="Normal"/>
        <w:spacing w:before="0" w:after="0"/>
        <w:rPr/>
      </w:pPr>
      <w:r>
        <w:rPr/>
      </w:r>
    </w:p>
    <w:p>
      <w:pPr>
        <w:pStyle w:val="SectionHeadingWorking"/>
        <w:rPr/>
      </w:pPr>
      <w:bookmarkStart w:id="189" w:name="_Toc13042121"/>
      <w:bookmarkStart w:id="190" w:name="_Toc216182128"/>
      <w:bookmarkStart w:id="191" w:name="__RefHeading___Toc6172_3477833118"/>
      <w:bookmarkEnd w:id="191"/>
      <w:r>
        <w:rPr/>
        <w:t>References</w:t>
      </w:r>
      <w:bookmarkEnd w:id="189"/>
      <w:bookmarkEnd w:id="190"/>
    </w:p>
    <w:p>
      <w:pPr>
        <w:pStyle w:val="BodyCopyWorking"/>
        <w:keepNext w:val="0"/>
      </w:pPr>
      <w:sdt>
        <w:sdtPr>
          <w:alias w:val="Completed response — 1. Novo Nordisk. Clinical trial report: NN9536-4373 (STEP 1). Eff"/>
          <w:id w:val="1900000161"/>
        </w:sdtPr>
        <w:sdtContent>
          <w:r>
            <w:rPr>
              <w:rFonts w:ascii="Arial" w:hAnsi="Arial"/>
              <w:color w:val="000000"/>
              <w:sz w:val="20"/>
            </w:rPr>
            <w:t>1. Novo Nordisk. Clinical trial report: NN9536-4373 (STEP 1). Effect and safety of semaglutide 2.4 mg once-weekly in subjects with overweight or obesity. Version 1.0, final; 17 August 2020. Supplied file: Phase3a-STEP1-report(1).pdf. Report covers the main trial phase. (CSR pp. 1-2, 32.) The example references retained below are template text, not evidence used for this completion.</w:t>
          </w:r>
        </w:sdtContent>
      </w:sdt>
    </w:p>
    <w:p>
      <w:pPr>
        <w:pStyle w:val="BodyCopyWorking"/>
        <w:rPr>
          <w:color w:val="C00000"/>
          <w:sz w:val="20"/>
          <w:szCs w:val="20"/>
        </w:rPr>
      </w:pPr>
      <w:r>
        <w:rPr>
          <w:color w:val="C00000"/>
          <w:sz w:val="20"/>
          <w:szCs w:val="20"/>
        </w:rPr>
        <w:t xml:space="preserve">References must be provided in this section and should adhere to standard citation practices for publication, as per the following examples: </w:t>
      </w:r>
    </w:p>
    <w:p>
      <w:pPr>
        <w:pStyle w:val="ReferenceListCADTH"/>
        <w:numPr>
          <w:ilvl w:val="0"/>
          <w:numId w:val="2"/>
        </w:numPr>
        <w:ind w:hanging="284" w:start="284"/>
        <w:rPr>
          <w:color w:val="C00000"/>
          <w:sz w:val="20"/>
          <w:szCs w:val="16"/>
          <w:lang w:eastAsia="en-CA"/>
        </w:rPr>
      </w:pPr>
      <w:r>
        <w:rPr>
          <w:color w:val="C00000"/>
          <w:sz w:val="20"/>
          <w:szCs w:val="16"/>
          <w:lang w:eastAsia="en-CA"/>
        </w:rPr>
        <w:t>Murray CJL. Maximizing antiretroviral therapy in developing countries: the dual challenge of efficiency and quality [published online December 1, 2014]. </w:t>
      </w:r>
      <w:r>
        <w:rPr>
          <w:i/>
          <w:color w:val="C00000"/>
          <w:sz w:val="20"/>
          <w:szCs w:val="16"/>
          <w:lang w:eastAsia="en-CA"/>
        </w:rPr>
        <w:t>JAMA</w:t>
      </w:r>
      <w:r>
        <w:rPr>
          <w:color w:val="C00000"/>
          <w:sz w:val="20"/>
          <w:szCs w:val="16"/>
          <w:lang w:eastAsia="en-CA"/>
        </w:rPr>
        <w:t>. doi:10.1001/jama.2014.16376</w:t>
      </w:r>
    </w:p>
    <w:p>
      <w:pPr>
        <w:pStyle w:val="ReferenceListCADTH"/>
        <w:numPr>
          <w:ilvl w:val="0"/>
          <w:numId w:val="2"/>
        </w:numPr>
        <w:ind w:hanging="284" w:start="284"/>
        <w:rPr>
          <w:color w:val="C00000"/>
          <w:sz w:val="20"/>
          <w:szCs w:val="16"/>
          <w:lang w:eastAsia="en-CA"/>
        </w:rPr>
      </w:pPr>
      <w:r>
        <w:rPr>
          <w:color w:val="C00000"/>
          <w:sz w:val="20"/>
          <w:szCs w:val="16"/>
          <w:lang w:eastAsia="en-CA"/>
        </w:rPr>
        <w:t xml:space="preserve">Centers for Medicare &amp; Medicaid Services. CMS proposals to implement certain disclosure provisions of the Affordable Care Act. </w:t>
      </w:r>
      <w:hyperlink r:id="rId23">
        <w:r>
          <w:rPr>
            <w:rStyle w:val="Style"/>
            <w:rFonts w:eastAsia="MS Mincho"/>
            <w:color w:val="C00000"/>
            <w:sz w:val="20"/>
            <w:szCs w:val="16"/>
            <w:u w:val="single"/>
            <w:lang w:eastAsia="en-CA"/>
          </w:rPr>
          <w:t>http://www.cms.gov/apps/media/press/factsheet.asp?Counter=4221</w:t>
        </w:r>
      </w:hyperlink>
      <w:r>
        <w:rPr>
          <w:color w:val="C00000"/>
          <w:sz w:val="20"/>
          <w:szCs w:val="16"/>
          <w:lang w:eastAsia="en-CA"/>
        </w:rPr>
        <w:t>. Accessed January 30, 2012.</w:t>
      </w:r>
    </w:p>
    <w:p>
      <w:pPr>
        <w:pStyle w:val="ReferenceListCADTH"/>
        <w:numPr>
          <w:ilvl w:val="0"/>
          <w:numId w:val="2"/>
        </w:numPr>
        <w:ind w:hanging="284" w:start="284"/>
        <w:rPr>
          <w:color w:val="C00000"/>
          <w:sz w:val="20"/>
          <w:szCs w:val="16"/>
          <w:lang w:eastAsia="en-CA"/>
        </w:rPr>
      </w:pPr>
      <w:r>
        <w:rPr>
          <w:color w:val="C00000"/>
          <w:sz w:val="20"/>
          <w:szCs w:val="16"/>
          <w:lang w:eastAsia="en-CA"/>
        </w:rPr>
        <w:t>McPhee SJ, Winker MA, Rabow MW, Pantilat SZ, Markowitz AJ, eds. </w:t>
      </w:r>
      <w:r>
        <w:rPr>
          <w:i/>
          <w:color w:val="C00000"/>
          <w:sz w:val="20"/>
          <w:szCs w:val="16"/>
          <w:lang w:eastAsia="en-CA"/>
        </w:rPr>
        <w:t>Care at the Close of Life: Evidence and Experience</w:t>
      </w:r>
      <w:r>
        <w:rPr>
          <w:color w:val="C00000"/>
          <w:sz w:val="20"/>
          <w:szCs w:val="16"/>
          <w:lang w:eastAsia="en-CA"/>
        </w:rPr>
        <w:t>. New York, NY: McGraw Hill Medical; 2011.</w:t>
      </w:r>
    </w:p>
    <w:p>
      <w:pPr>
        <w:pStyle w:val="Normal"/>
        <w:rPr>
          <w:rFonts w:ascii="Arial" w:hAnsi="Arial" w:cs="Arial"/>
          <w:color w:val="000000"/>
          <w:sz w:val="18"/>
          <w:szCs w:val="18"/>
          <w:lang w:val="en-US"/>
        </w:rPr>
      </w:pPr>
      <w:r>
        <w:rPr>
          <w:rFonts w:cs="Arial" w:ascii="Arial" w:hAnsi="Arial"/>
          <w:color w:val="000000"/>
          <w:sz w:val="18"/>
          <w:szCs w:val="18"/>
          <w:lang w:val="en-US"/>
        </w:rPr>
      </w:r>
      <w:bookmarkStart w:id="192" w:name="_Toc338595638"/>
      <w:bookmarkEnd w:id="192"/>
    </w:p>
    <w:sectPr>
      <w:headerReference w:type="even" r:id="rId24"/>
      <w:headerReference w:type="default" r:id="rId25"/>
      <w:headerReference w:type="first" r:id="rId26"/>
      <w:footerReference w:type="even" r:id="rId27"/>
      <w:footerReference w:type="default" r:id="rId28"/>
      <w:footerReference w:type="first" r:id="rId29"/>
      <w:type w:val="nextPage"/>
      <w:pgSz w:w="12240" w:h="15840"/>
      <w:pgMar w:left="851" w:right="851" w:gutter="0" w:header="709" w:top="2359" w:footer="709" w:bottom="145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mbria">
    <w:charset w:val="01"/>
    <w:family w:val="roman"/>
    <w:pitch w:val="variable"/>
  </w:font>
  <w:font w:name="Calibri">
    <w:charset w:val="01"/>
    <w:family w:val="roman"/>
    <w:pitch w:val="variable"/>
  </w:font>
  <w:font w:name="Arial">
    <w:charset w:val="01"/>
    <w:family w:val="swiss"/>
    <w:pitch w:val="variable"/>
  </w:font>
  <w:font w:name="Lucida Grande">
    <w:charset w:val="01"/>
    <w:family w:val="swiss"/>
    <w:pitch w:val="variable"/>
  </w:font>
  <w:font w:name="Trebuchet MS">
    <w:charset w:val="01"/>
    <w:family w:val="swiss"/>
    <w:pitch w:val="variable"/>
  </w:font>
  <w:font w:name="DejaVu Sans">
    <w:charset w:val="01"/>
    <w:family w:val="roman"/>
    <w:pitch w:val="variable"/>
  </w:font>
  <w:font w:name="Times New Roman">
    <w:charset w:val="01"/>
    <w:family w:val="roman"/>
    <w:pitch w:val="variable"/>
  </w:font>
  <w:font w:name="Roboto">
    <w:charset w:val="01"/>
    <w:family w:val="roman"/>
    <w:pitch w:val="variable"/>
  </w:font>
  <w:font w:name="Segoe UI">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54"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3" name="Text Box 4"/>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1"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2"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4" name="Straight Connector 109"/>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2"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lang w:val="en-US"/>
      </w:rPr>
    </w:pPr>
    <w:r>
      <w:rPr>
        <w:rFonts w:cs="Arial" w:ascii="Arial" w:hAnsi="Arial"/>
        <w:sz w:val="20"/>
        <w:szCs w:val="20"/>
        <w:lang w:val="en-US"/>
      </w:rPr>
      <w:t>January 2026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9"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3"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0"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4"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11"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5"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2"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6"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1" name="Picture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3743325" cy="601345"/>
          <wp:effectExtent l="0" t="0" r="0" b="0"/>
          <wp:docPr id="2" name="Image2"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black and white text&#10;&#10;Description automatically generated"/>
                  <pic:cNvPicPr>
                    <a:picLocks noChangeAspect="1" noChangeArrowheads="1"/>
                  </pic:cNvPicPr>
                </pic:nvPicPr>
                <pic:blipFill>
                  <a:blip r:embed="rId1"/>
                  <a:stretch>
                    <a:fillRect/>
                  </a:stretch>
                </pic:blipFill>
                <pic:spPr bwMode="auto">
                  <a:xfrm>
                    <a:off x="0" y="0"/>
                    <a:ext cx="3743325" cy="601345"/>
                  </a:xfrm>
                  <a:prstGeom prst="rect">
                    <a:avLst/>
                  </a:prstGeom>
                  <a:noFill/>
                </pic:spPr>
              </pic:pic>
            </a:graphicData>
          </a:graphic>
        </wp:inline>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7"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8"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start="432" w:hanging="432"/>
      </w:pPr>
      <w:rPr>
        <w:sz w:val="28"/>
      </w:rPr>
    </w:lvl>
    <w:lvl w:ilvl="1">
      <w:start w:val="1"/>
      <w:numFmt w:val="decimal"/>
      <w:pStyle w:val="Heading2"/>
      <w:lvlText w:val="%1.%2"/>
      <w:lvlJc w:val="left"/>
      <w:pPr>
        <w:tabs>
          <w:tab w:val="num" w:pos="0"/>
        </w:tabs>
        <w:ind w:start="576" w:hanging="576"/>
      </w:pPr>
      <w:rPr/>
    </w:lvl>
    <w:lvl w:ilvl="2">
      <w:start w:val="1"/>
      <w:numFmt w:val="decimal"/>
      <w:pStyle w:val="Heading3"/>
      <w:lvlText w:val="%1.%2.%3"/>
      <w:lvlJc w:val="left"/>
      <w:pPr>
        <w:tabs>
          <w:tab w:val="num" w:pos="0"/>
        </w:tabs>
        <w:ind w:start="720" w:hanging="720"/>
      </w:pPr>
      <w:rPr/>
    </w:lvl>
    <w:lvl w:ilvl="3">
      <w:start w:val="1"/>
      <w:numFmt w:val="decimal"/>
      <w:pStyle w:val="Heading4"/>
      <w:lvlText w:val="%1.%2.%3.%4"/>
      <w:lvlJc w:val="left"/>
      <w:pPr>
        <w:tabs>
          <w:tab w:val="num" w:pos="0"/>
        </w:tabs>
        <w:ind w:start="864" w:hanging="864"/>
      </w:pPr>
      <w:rPr/>
    </w:lvl>
    <w:lvl w:ilvl="4">
      <w:start w:val="1"/>
      <w:numFmt w:val="decimal"/>
      <w:pStyle w:val="Heading5"/>
      <w:lvlText w:val="%1.%2.%3.%4.%5"/>
      <w:lvlJc w:val="left"/>
      <w:pPr>
        <w:tabs>
          <w:tab w:val="num" w:pos="0"/>
        </w:tabs>
        <w:ind w:start="1008" w:hanging="1008"/>
      </w:pPr>
      <w:rPr/>
    </w:lvl>
    <w:lvl w:ilvl="5">
      <w:start w:val="1"/>
      <w:numFmt w:val="decimal"/>
      <w:pStyle w:val="Heading6"/>
      <w:lvlText w:val="%1.%2.%3.%4.%5.%6"/>
      <w:lvlJc w:val="left"/>
      <w:pPr>
        <w:tabs>
          <w:tab w:val="num" w:pos="0"/>
        </w:tabs>
        <w:ind w:start="1152" w:hanging="1152"/>
      </w:pPr>
      <w:rPr/>
    </w:lvl>
    <w:lvl w:ilvl="6">
      <w:start w:val="1"/>
      <w:numFmt w:val="decimal"/>
      <w:pStyle w:val="Heading7"/>
      <w:lvlText w:val="%1.%2.%3.%4.%5.%6.%7"/>
      <w:lvlJc w:val="left"/>
      <w:pPr>
        <w:tabs>
          <w:tab w:val="num" w:pos="0"/>
        </w:tabs>
        <w:ind w:start="1296" w:hanging="1296"/>
      </w:pPr>
      <w:rPr/>
    </w:lvl>
    <w:lvl w:ilvl="7">
      <w:start w:val="1"/>
      <w:numFmt w:val="decimal"/>
      <w:pStyle w:val="Heading8"/>
      <w:lvlText w:val="%1.%2.%3.%4.%5.%6.%7.%8"/>
      <w:lvlJc w:val="left"/>
      <w:pPr>
        <w:tabs>
          <w:tab w:val="num" w:pos="0"/>
        </w:tabs>
        <w:ind w:start="1440" w:hanging="1440"/>
      </w:pPr>
      <w:rPr/>
    </w:lvl>
    <w:lvl w:ilvl="8">
      <w:start w:val="1"/>
      <w:numFmt w:val="decimal"/>
      <w:pStyle w:val="Heading9"/>
      <w:lvlText w:val="%1.%2.%3.%4.%5.%6.%7.%8.%9"/>
      <w:lvlJc w:val="left"/>
      <w:pPr>
        <w:tabs>
          <w:tab w:val="num" w:pos="0"/>
        </w:tabs>
        <w:ind w:start="1584" w:hanging="1584"/>
      </w:pPr>
      <w:rPr/>
    </w:lvl>
  </w:abstractNum>
  <w:abstractNum w:abstractNumId="2">
    <w:lvl w:ilvl="0">
      <w:start w:val="1"/>
      <w:numFmt w:val="decimal"/>
      <w:lvlText w:val="%1."/>
      <w:lvlJc w:val="left"/>
      <w:pPr>
        <w:tabs>
          <w:tab w:val="num" w:pos="0"/>
        </w:tabs>
        <w:ind w:start="4519" w:hanging="360"/>
      </w:pPr>
      <w:rPr/>
    </w:lvl>
    <w:lvl w:ilvl="1">
      <w:start w:val="1"/>
      <w:numFmt w:val="lowerLetter"/>
      <w:lvlText w:val="%2."/>
      <w:lvlJc w:val="left"/>
      <w:pPr>
        <w:tabs>
          <w:tab w:val="num" w:pos="0"/>
        </w:tabs>
        <w:ind w:start="5239" w:hanging="360"/>
      </w:pPr>
      <w:rPr/>
    </w:lvl>
    <w:lvl w:ilvl="2">
      <w:start w:val="1"/>
      <w:numFmt w:val="lowerRoman"/>
      <w:lvlText w:val="%3."/>
      <w:lvlJc w:val="right"/>
      <w:pPr>
        <w:tabs>
          <w:tab w:val="num" w:pos="0"/>
        </w:tabs>
        <w:ind w:start="5959" w:hanging="180"/>
      </w:pPr>
      <w:rPr/>
    </w:lvl>
    <w:lvl w:ilvl="3">
      <w:start w:val="1"/>
      <w:numFmt w:val="decimal"/>
      <w:lvlText w:val="%4."/>
      <w:lvlJc w:val="left"/>
      <w:pPr>
        <w:tabs>
          <w:tab w:val="num" w:pos="0"/>
        </w:tabs>
        <w:ind w:start="6679" w:hanging="360"/>
      </w:pPr>
      <w:rPr/>
    </w:lvl>
    <w:lvl w:ilvl="4">
      <w:start w:val="1"/>
      <w:numFmt w:val="lowerLetter"/>
      <w:lvlText w:val="%5."/>
      <w:lvlJc w:val="left"/>
      <w:pPr>
        <w:tabs>
          <w:tab w:val="num" w:pos="0"/>
        </w:tabs>
        <w:ind w:start="7399" w:hanging="360"/>
      </w:pPr>
      <w:rPr/>
    </w:lvl>
    <w:lvl w:ilvl="5">
      <w:start w:val="1"/>
      <w:numFmt w:val="lowerRoman"/>
      <w:lvlText w:val="%6."/>
      <w:lvlJc w:val="right"/>
      <w:pPr>
        <w:tabs>
          <w:tab w:val="num" w:pos="0"/>
        </w:tabs>
        <w:ind w:start="8119" w:hanging="180"/>
      </w:pPr>
      <w:rPr/>
    </w:lvl>
    <w:lvl w:ilvl="6">
      <w:start w:val="1"/>
      <w:numFmt w:val="decimal"/>
      <w:lvlText w:val="%7."/>
      <w:lvlJc w:val="left"/>
      <w:pPr>
        <w:tabs>
          <w:tab w:val="num" w:pos="0"/>
        </w:tabs>
        <w:ind w:start="8839" w:hanging="360"/>
      </w:pPr>
      <w:rPr/>
    </w:lvl>
    <w:lvl w:ilvl="7">
      <w:start w:val="1"/>
      <w:numFmt w:val="lowerLetter"/>
      <w:lvlText w:val="%8."/>
      <w:lvlJc w:val="left"/>
      <w:pPr>
        <w:tabs>
          <w:tab w:val="num" w:pos="0"/>
        </w:tabs>
        <w:ind w:start="9559" w:hanging="360"/>
      </w:pPr>
      <w:rPr/>
    </w:lvl>
    <w:lvl w:ilvl="8">
      <w:start w:val="1"/>
      <w:numFmt w:val="lowerRoman"/>
      <w:lvlText w:val="%9."/>
      <w:lvlJc w:val="right"/>
      <w:pPr>
        <w:tabs>
          <w:tab w:val="num" w:pos="0"/>
        </w:tabs>
        <w:ind w:start="10279" w:hanging="180"/>
      </w:pPr>
      <w:rPr/>
    </w:lvl>
  </w:abstractNum>
  <w:abstractNum w:abstractNumId="3">
    <w:lvl w:ilvl="0">
      <w:start w:val="1"/>
      <w:numFmt w:val="bullet"/>
      <w:lvlText w:val=""/>
      <w:lvlJc w:val="left"/>
      <w:pPr>
        <w:tabs>
          <w:tab w:val="num" w:pos="0"/>
        </w:tabs>
        <w:ind w:start="10530" w:hanging="360"/>
      </w:pPr>
      <w:rPr>
        <w:rFonts w:ascii="Symbol" w:hAnsi="Symbol" w:cs="Symbol" w:hint="default"/>
        <w:color w:val="C00000"/>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4">
    <w:lvl w:ilvl="0">
      <w:start w:val="1"/>
      <w:numFmt w:val="bullet"/>
      <w:lvlText w:val="o"/>
      <w:lvlJc w:val="left"/>
      <w:pPr>
        <w:tabs>
          <w:tab w:val="num" w:pos="0"/>
        </w:tabs>
        <w:ind w:start="426" w:hanging="360"/>
      </w:pPr>
      <w:rPr>
        <w:rFonts w:ascii="Courier New" w:hAnsi="Courier New" w:cs="Courier New" w:hint="default"/>
      </w:rPr>
    </w:lvl>
    <w:lvl w:ilvl="1">
      <w:start w:val="1"/>
      <w:numFmt w:val="bullet"/>
      <w:lvlText w:val="o"/>
      <w:lvlJc w:val="left"/>
      <w:pPr>
        <w:tabs>
          <w:tab w:val="num" w:pos="0"/>
        </w:tabs>
        <w:ind w:start="1146" w:hanging="360"/>
      </w:pPr>
      <w:rPr>
        <w:rFonts w:ascii="Courier New" w:hAnsi="Courier New" w:cs="Courier New" w:hint="default"/>
      </w:rPr>
    </w:lvl>
    <w:lvl w:ilvl="2">
      <w:start w:val="1"/>
      <w:numFmt w:val="bullet"/>
      <w:lvlText w:val=""/>
      <w:lvlJc w:val="left"/>
      <w:pPr>
        <w:tabs>
          <w:tab w:val="num" w:pos="0"/>
        </w:tabs>
        <w:ind w:start="1866" w:hanging="360"/>
      </w:pPr>
      <w:rPr>
        <w:rFonts w:ascii="Wingdings" w:hAnsi="Wingdings" w:cs="Wingdings" w:hint="default"/>
      </w:rPr>
    </w:lvl>
    <w:lvl w:ilvl="3">
      <w:start w:val="0"/>
      <w:numFmt w:val="bullet"/>
      <w:lvlText w:val="•"/>
      <w:lvlJc w:val="left"/>
      <w:pPr>
        <w:tabs>
          <w:tab w:val="num" w:pos="0"/>
        </w:tabs>
        <w:ind w:start="2946" w:hanging="720"/>
      </w:pPr>
      <w:rPr>
        <w:rFonts w:ascii="Arial" w:hAnsi="Arial" w:cs="Arial" w:hint="default"/>
      </w:rPr>
    </w:lvl>
    <w:lvl w:ilvl="4">
      <w:start w:val="1"/>
      <w:numFmt w:val="bullet"/>
      <w:lvlText w:val="o"/>
      <w:lvlJc w:val="left"/>
      <w:pPr>
        <w:tabs>
          <w:tab w:val="num" w:pos="0"/>
        </w:tabs>
        <w:ind w:start="3306" w:hanging="360"/>
      </w:pPr>
      <w:rPr>
        <w:rFonts w:ascii="Courier New" w:hAnsi="Courier New" w:cs="Courier New" w:hint="default"/>
      </w:rPr>
    </w:lvl>
    <w:lvl w:ilvl="5">
      <w:start w:val="1"/>
      <w:numFmt w:val="bullet"/>
      <w:lvlText w:val=""/>
      <w:lvlJc w:val="left"/>
      <w:pPr>
        <w:tabs>
          <w:tab w:val="num" w:pos="0"/>
        </w:tabs>
        <w:ind w:start="4026" w:hanging="360"/>
      </w:pPr>
      <w:rPr>
        <w:rFonts w:ascii="Wingdings" w:hAnsi="Wingdings" w:cs="Wingdings" w:hint="default"/>
      </w:rPr>
    </w:lvl>
    <w:lvl w:ilvl="6">
      <w:start w:val="1"/>
      <w:numFmt w:val="bullet"/>
      <w:lvlText w:val=""/>
      <w:lvlJc w:val="left"/>
      <w:pPr>
        <w:tabs>
          <w:tab w:val="num" w:pos="0"/>
        </w:tabs>
        <w:ind w:start="4746" w:hanging="360"/>
      </w:pPr>
      <w:rPr>
        <w:rFonts w:ascii="Symbol" w:hAnsi="Symbol" w:cs="Symbol" w:hint="default"/>
      </w:rPr>
    </w:lvl>
    <w:lvl w:ilvl="7">
      <w:start w:val="1"/>
      <w:numFmt w:val="bullet"/>
      <w:lvlText w:val="o"/>
      <w:lvlJc w:val="left"/>
      <w:pPr>
        <w:tabs>
          <w:tab w:val="num" w:pos="0"/>
        </w:tabs>
        <w:ind w:start="5466" w:hanging="360"/>
      </w:pPr>
      <w:rPr>
        <w:rFonts w:ascii="Courier New" w:hAnsi="Courier New" w:cs="Courier New" w:hint="default"/>
      </w:rPr>
    </w:lvl>
    <w:lvl w:ilvl="8">
      <w:start w:val="1"/>
      <w:numFmt w:val="bullet"/>
      <w:lvlText w:val=""/>
      <w:lvlJc w:val="left"/>
      <w:pPr>
        <w:tabs>
          <w:tab w:val="num" w:pos="0"/>
        </w:tabs>
        <w:ind w:start="6186" w:hanging="360"/>
      </w:pPr>
      <w:rPr>
        <w:rFonts w:ascii="Wingdings" w:hAnsi="Wingdings" w:cs="Wingdings" w:hint="default"/>
      </w:rPr>
    </w:lvl>
  </w:abstractNum>
  <w:abstractNum w:abstractNumId="5">
    <w:lvl w:ilvl="0">
      <w:start w:val="1"/>
      <w:numFmt w:val="decimal"/>
      <w:lvlText w:val="%1."/>
      <w:lvlJc w:val="left"/>
      <w:pPr>
        <w:tabs>
          <w:tab w:val="num" w:pos="0"/>
        </w:tabs>
        <w:ind w:start="720" w:hanging="360"/>
      </w:pPr>
      <w:rPr/>
    </w:lvl>
    <w:lvl w:ilvl="1">
      <w:start w:val="1"/>
      <w:numFmt w:val="lowerLetter"/>
      <w:lvlText w:val="%2."/>
      <w:lvlJc w:val="left"/>
      <w:pPr>
        <w:tabs>
          <w:tab w:val="num" w:pos="0"/>
        </w:tabs>
        <w:ind w:start="1440" w:hanging="360"/>
      </w:pPr>
      <w:rPr/>
    </w:lvl>
    <w:lvl w:ilvl="2">
      <w:start w:val="1"/>
      <w:numFmt w:val="lowerRoman"/>
      <w:lvlText w:val="%3."/>
      <w:lvlJc w:val="right"/>
      <w:pPr>
        <w:tabs>
          <w:tab w:val="num" w:pos="0"/>
        </w:tabs>
        <w:ind w:start="2160" w:hanging="180"/>
      </w:pPr>
      <w:rPr/>
    </w:lvl>
    <w:lvl w:ilvl="3">
      <w:start w:val="1"/>
      <w:numFmt w:val="decimal"/>
      <w:lvlText w:val="%4."/>
      <w:lvlJc w:val="left"/>
      <w:pPr>
        <w:tabs>
          <w:tab w:val="num" w:pos="0"/>
        </w:tabs>
        <w:ind w:start="2880" w:hanging="360"/>
      </w:pPr>
      <w:rPr/>
    </w:lvl>
    <w:lvl w:ilvl="4">
      <w:start w:val="1"/>
      <w:numFmt w:val="lowerLetter"/>
      <w:lvlText w:val="%5."/>
      <w:lvlJc w:val="left"/>
      <w:pPr>
        <w:tabs>
          <w:tab w:val="num" w:pos="0"/>
        </w:tabs>
        <w:ind w:start="3600" w:hanging="360"/>
      </w:pPr>
      <w:rPr/>
    </w:lvl>
    <w:lvl w:ilvl="5">
      <w:start w:val="1"/>
      <w:numFmt w:val="lowerRoman"/>
      <w:lvlText w:val="%6."/>
      <w:lvlJc w:val="right"/>
      <w:pPr>
        <w:tabs>
          <w:tab w:val="num" w:pos="0"/>
        </w:tabs>
        <w:ind w:start="4320" w:hanging="180"/>
      </w:pPr>
      <w:rPr/>
    </w:lvl>
    <w:lvl w:ilvl="6">
      <w:start w:val="1"/>
      <w:numFmt w:val="decimal"/>
      <w:lvlText w:val="%7."/>
      <w:lvlJc w:val="left"/>
      <w:pPr>
        <w:tabs>
          <w:tab w:val="num" w:pos="0"/>
        </w:tabs>
        <w:ind w:start="5040" w:hanging="360"/>
      </w:pPr>
      <w:rPr/>
    </w:lvl>
    <w:lvl w:ilvl="7">
      <w:start w:val="1"/>
      <w:numFmt w:val="lowerLetter"/>
      <w:lvlText w:val="%8."/>
      <w:lvlJc w:val="left"/>
      <w:pPr>
        <w:tabs>
          <w:tab w:val="num" w:pos="0"/>
        </w:tabs>
        <w:ind w:start="5760" w:hanging="360"/>
      </w:pPr>
      <w:rPr/>
    </w:lvl>
    <w:lvl w:ilvl="8">
      <w:start w:val="1"/>
      <w:numFmt w:val="lowerRoman"/>
      <w:lvlText w:val="%9."/>
      <w:lvlJc w:val="right"/>
      <w:pPr>
        <w:tabs>
          <w:tab w:val="num" w:pos="0"/>
        </w:tabs>
        <w:ind w:start="6480" w:hanging="180"/>
      </w:pPr>
      <w:rPr/>
    </w:lvl>
  </w:abstractNum>
  <w:abstractNum w:abstractNumId="6">
    <w:lvl w:ilvl="0">
      <w:start w:val="1"/>
      <w:numFmt w:val="bullet"/>
      <w:lvlText w:val=""/>
      <w:lvlJc w:val="left"/>
      <w:pPr>
        <w:tabs>
          <w:tab w:val="num" w:pos="0"/>
        </w:tabs>
        <w:ind w:start="1440" w:hanging="360"/>
      </w:pPr>
      <w:rPr>
        <w:rFonts w:ascii="Wingdings" w:hAnsi="Wingdings" w:cs="Wingdings" w:hint="default"/>
      </w:rPr>
    </w:lvl>
    <w:lvl w:ilvl="1">
      <w:start w:val="1"/>
      <w:numFmt w:val="bullet"/>
      <w:lvlText w:val="o"/>
      <w:lvlJc w:val="left"/>
      <w:pPr>
        <w:tabs>
          <w:tab w:val="num" w:pos="0"/>
        </w:tabs>
        <w:ind w:start="2160" w:hanging="360"/>
      </w:pPr>
      <w:rPr>
        <w:rFonts w:ascii="Courier New" w:hAnsi="Courier New" w:cs="Courier New" w:hint="default"/>
      </w:rPr>
    </w:lvl>
    <w:lvl w:ilvl="2">
      <w:start w:val="1"/>
      <w:numFmt w:val="bullet"/>
      <w:lvlText w:val=""/>
      <w:lvlJc w:val="left"/>
      <w:pPr>
        <w:tabs>
          <w:tab w:val="num" w:pos="0"/>
        </w:tabs>
        <w:ind w:start="2880" w:hanging="360"/>
      </w:pPr>
      <w:rPr>
        <w:rFonts w:ascii="Wingdings" w:hAnsi="Wingdings" w:cs="Wingdings" w:hint="default"/>
      </w:rPr>
    </w:lvl>
    <w:lvl w:ilvl="3">
      <w:start w:val="1"/>
      <w:numFmt w:val="bullet"/>
      <w:lvlText w:val=""/>
      <w:lvlJc w:val="left"/>
      <w:pPr>
        <w:tabs>
          <w:tab w:val="num" w:pos="0"/>
        </w:tabs>
        <w:ind w:start="3600" w:hanging="360"/>
      </w:pPr>
      <w:rPr>
        <w:rFonts w:ascii="Symbol" w:hAnsi="Symbol" w:cs="Symbol" w:hint="default"/>
      </w:rPr>
    </w:lvl>
    <w:lvl w:ilvl="4">
      <w:start w:val="1"/>
      <w:numFmt w:val="bullet"/>
      <w:lvlText w:val="o"/>
      <w:lvlJc w:val="left"/>
      <w:pPr>
        <w:tabs>
          <w:tab w:val="num" w:pos="0"/>
        </w:tabs>
        <w:ind w:start="4320" w:hanging="360"/>
      </w:pPr>
      <w:rPr>
        <w:rFonts w:ascii="Courier New" w:hAnsi="Courier New" w:cs="Courier New" w:hint="default"/>
      </w:rPr>
    </w:lvl>
    <w:lvl w:ilvl="5">
      <w:start w:val="1"/>
      <w:numFmt w:val="bullet"/>
      <w:lvlText w:val=""/>
      <w:lvlJc w:val="left"/>
      <w:pPr>
        <w:tabs>
          <w:tab w:val="num" w:pos="0"/>
        </w:tabs>
        <w:ind w:start="5040" w:hanging="360"/>
      </w:pPr>
      <w:rPr>
        <w:rFonts w:ascii="Wingdings" w:hAnsi="Wingdings" w:cs="Wingdings" w:hint="default"/>
      </w:rPr>
    </w:lvl>
    <w:lvl w:ilvl="6">
      <w:start w:val="1"/>
      <w:numFmt w:val="bullet"/>
      <w:lvlText w:val=""/>
      <w:lvlJc w:val="left"/>
      <w:pPr>
        <w:tabs>
          <w:tab w:val="num" w:pos="0"/>
        </w:tabs>
        <w:ind w:start="5760" w:hanging="360"/>
      </w:pPr>
      <w:rPr>
        <w:rFonts w:ascii="Symbol" w:hAnsi="Symbol" w:cs="Symbol" w:hint="default"/>
      </w:rPr>
    </w:lvl>
    <w:lvl w:ilvl="7">
      <w:start w:val="1"/>
      <w:numFmt w:val="bullet"/>
      <w:lvlText w:val="o"/>
      <w:lvlJc w:val="left"/>
      <w:pPr>
        <w:tabs>
          <w:tab w:val="num" w:pos="0"/>
        </w:tabs>
        <w:ind w:start="6480" w:hanging="360"/>
      </w:pPr>
      <w:rPr>
        <w:rFonts w:ascii="Courier New" w:hAnsi="Courier New" w:cs="Courier New" w:hint="default"/>
      </w:rPr>
    </w:lvl>
    <w:lvl w:ilvl="8">
      <w:start w:val="1"/>
      <w:numFmt w:val="bullet"/>
      <w:lvlText w:val=""/>
      <w:lvlJc w:val="left"/>
      <w:pPr>
        <w:tabs>
          <w:tab w:val="num" w:pos="0"/>
        </w:tabs>
        <w:ind w:start="7200" w:hanging="360"/>
      </w:pPr>
      <w:rPr>
        <w:rFonts w:ascii="Wingdings" w:hAnsi="Wingdings" w:cs="Wingdings" w:hint="default"/>
      </w:rPr>
    </w:lvl>
  </w:abstractNum>
  <w:abstractNum w:abstractNumId="7">
    <w:lvl w:ilvl="0">
      <w:start w:val="1"/>
      <w:numFmt w:val="bullet"/>
      <w:lvlText w:val=""/>
      <w:lvlJc w:val="left"/>
      <w:pPr>
        <w:tabs>
          <w:tab w:val="num" w:pos="0"/>
        </w:tabs>
        <w:ind w:start="1080" w:hanging="360"/>
      </w:pPr>
      <w:rPr>
        <w:rFonts w:ascii="Symbol" w:hAnsi="Symbol" w:cs="Symbol" w:hint="default"/>
        <w:sz w:val="16"/>
      </w:rPr>
    </w:lvl>
    <w:lvl w:ilvl="1">
      <w:start w:val="1"/>
      <w:numFmt w:val="bullet"/>
      <w:lvlText w:val="o"/>
      <w:lvlJc w:val="left"/>
      <w:pPr>
        <w:tabs>
          <w:tab w:val="num" w:pos="0"/>
        </w:tabs>
        <w:ind w:start="1728" w:hanging="360"/>
      </w:pPr>
      <w:rPr>
        <w:rFonts w:ascii="Courier New" w:hAnsi="Courier New" w:cs="Courier New" w:hint="default"/>
      </w:rPr>
    </w:lvl>
    <w:lvl w:ilvl="2">
      <w:start w:val="1"/>
      <w:numFmt w:val="bullet"/>
      <w:lvlText w:val=""/>
      <w:lvlJc w:val="left"/>
      <w:pPr>
        <w:tabs>
          <w:tab w:val="num" w:pos="0"/>
        </w:tabs>
        <w:ind w:start="2448" w:hanging="360"/>
      </w:pPr>
      <w:rPr>
        <w:rFonts w:ascii="Wingdings" w:hAnsi="Wingdings" w:cs="Wingdings" w:hint="default"/>
      </w:rPr>
    </w:lvl>
    <w:lvl w:ilvl="3">
      <w:start w:val="1"/>
      <w:numFmt w:val="bullet"/>
      <w:lvlText w:val=""/>
      <w:lvlJc w:val="left"/>
      <w:pPr>
        <w:tabs>
          <w:tab w:val="num" w:pos="0"/>
        </w:tabs>
        <w:ind w:start="3168" w:hanging="360"/>
      </w:pPr>
      <w:rPr>
        <w:rFonts w:ascii="Symbol" w:hAnsi="Symbol" w:cs="Symbol" w:hint="default"/>
      </w:rPr>
    </w:lvl>
    <w:lvl w:ilvl="4">
      <w:start w:val="1"/>
      <w:numFmt w:val="bullet"/>
      <w:lvlText w:val="o"/>
      <w:lvlJc w:val="left"/>
      <w:pPr>
        <w:tabs>
          <w:tab w:val="num" w:pos="0"/>
        </w:tabs>
        <w:ind w:start="3888" w:hanging="360"/>
      </w:pPr>
      <w:rPr>
        <w:rFonts w:ascii="Courier New" w:hAnsi="Courier New" w:cs="Courier New" w:hint="default"/>
      </w:rPr>
    </w:lvl>
    <w:lvl w:ilvl="5">
      <w:start w:val="1"/>
      <w:numFmt w:val="bullet"/>
      <w:lvlText w:val=""/>
      <w:lvlJc w:val="left"/>
      <w:pPr>
        <w:tabs>
          <w:tab w:val="num" w:pos="0"/>
        </w:tabs>
        <w:ind w:start="4608" w:hanging="360"/>
      </w:pPr>
      <w:rPr>
        <w:rFonts w:ascii="Wingdings" w:hAnsi="Wingdings" w:cs="Wingdings" w:hint="default"/>
      </w:rPr>
    </w:lvl>
    <w:lvl w:ilvl="6">
      <w:start w:val="1"/>
      <w:numFmt w:val="bullet"/>
      <w:lvlText w:val=""/>
      <w:lvlJc w:val="left"/>
      <w:pPr>
        <w:tabs>
          <w:tab w:val="num" w:pos="0"/>
        </w:tabs>
        <w:ind w:start="5328" w:hanging="360"/>
      </w:pPr>
      <w:rPr>
        <w:rFonts w:ascii="Symbol" w:hAnsi="Symbol" w:cs="Symbol" w:hint="default"/>
      </w:rPr>
    </w:lvl>
    <w:lvl w:ilvl="7">
      <w:start w:val="1"/>
      <w:numFmt w:val="bullet"/>
      <w:lvlText w:val="o"/>
      <w:lvlJc w:val="left"/>
      <w:pPr>
        <w:tabs>
          <w:tab w:val="num" w:pos="0"/>
        </w:tabs>
        <w:ind w:start="6048" w:hanging="360"/>
      </w:pPr>
      <w:rPr>
        <w:rFonts w:ascii="Courier New" w:hAnsi="Courier New" w:cs="Courier New" w:hint="default"/>
      </w:rPr>
    </w:lvl>
    <w:lvl w:ilvl="8">
      <w:start w:val="1"/>
      <w:numFmt w:val="bullet"/>
      <w:lvlText w:val=""/>
      <w:lvlJc w:val="left"/>
      <w:pPr>
        <w:tabs>
          <w:tab w:val="num" w:pos="0"/>
        </w:tabs>
        <w:ind w:start="6768" w:hanging="360"/>
      </w:pPr>
      <w:rPr>
        <w:rFonts w:ascii="Wingdings" w:hAnsi="Wingdings" w:cs="Wingdings" w:hint="default"/>
      </w:rPr>
    </w:lvl>
  </w:abstractNum>
  <w:abstractNum w:abstractNumId="8">
    <w:lvl w:ilvl="0">
      <w:start w:val="1"/>
      <w:numFmt w:val="bullet"/>
      <w:lvlText w:val=""/>
      <w:lvlJc w:val="left"/>
      <w:pPr>
        <w:tabs>
          <w:tab w:val="num" w:pos="0"/>
        </w:tabs>
        <w:ind w:start="360" w:hanging="360"/>
      </w:pPr>
      <w:rPr>
        <w:rFonts w:ascii="Symbol" w:hAnsi="Symbol" w:cs="Symbol" w:hint="default"/>
        <w:color w:val="auto"/>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9">
    <w:lvl w:ilvl="0">
      <w:start w:val="1"/>
      <w:numFmt w:val="bullet"/>
      <w:lvlText w:val=""/>
      <w:lvlJc w:val="left"/>
      <w:pPr>
        <w:tabs>
          <w:tab w:val="num" w:pos="0"/>
        </w:tabs>
        <w:ind w:start="864" w:hanging="360"/>
      </w:pPr>
      <w:rPr>
        <w:rFonts w:ascii="Symbol" w:hAnsi="Symbol" w:cs="Symbol" w:hint="default"/>
        <w:color w:val="auto"/>
        <w:sz w:val="16"/>
      </w:rPr>
    </w:lvl>
    <w:lvl w:ilvl="1">
      <w:start w:val="1"/>
      <w:numFmt w:val="bullet"/>
      <w:lvlText w:val="o"/>
      <w:lvlJc w:val="left"/>
      <w:pPr>
        <w:tabs>
          <w:tab w:val="num" w:pos="0"/>
        </w:tabs>
        <w:ind w:start="1584" w:hanging="360"/>
      </w:pPr>
      <w:rPr>
        <w:rFonts w:ascii="Courier New" w:hAnsi="Courier New" w:cs="Courier New" w:hint="default"/>
      </w:rPr>
    </w:lvl>
    <w:lvl w:ilvl="2">
      <w:start w:val="1"/>
      <w:numFmt w:val="bullet"/>
      <w:lvlText w:val=""/>
      <w:lvlJc w:val="left"/>
      <w:pPr>
        <w:tabs>
          <w:tab w:val="num" w:pos="0"/>
        </w:tabs>
        <w:ind w:start="2304" w:hanging="360"/>
      </w:pPr>
      <w:rPr>
        <w:rFonts w:ascii="Wingdings" w:hAnsi="Wingdings" w:cs="Wingdings" w:hint="default"/>
      </w:rPr>
    </w:lvl>
    <w:lvl w:ilvl="3">
      <w:start w:val="1"/>
      <w:numFmt w:val="bullet"/>
      <w:lvlText w:val=""/>
      <w:lvlJc w:val="left"/>
      <w:pPr>
        <w:tabs>
          <w:tab w:val="num" w:pos="0"/>
        </w:tabs>
        <w:ind w:start="3024" w:hanging="360"/>
      </w:pPr>
      <w:rPr>
        <w:rFonts w:ascii="Symbol" w:hAnsi="Symbol" w:cs="Symbol" w:hint="default"/>
      </w:rPr>
    </w:lvl>
    <w:lvl w:ilvl="4">
      <w:start w:val="1"/>
      <w:numFmt w:val="bullet"/>
      <w:lvlText w:val="o"/>
      <w:lvlJc w:val="left"/>
      <w:pPr>
        <w:tabs>
          <w:tab w:val="num" w:pos="0"/>
        </w:tabs>
        <w:ind w:start="3744" w:hanging="360"/>
      </w:pPr>
      <w:rPr>
        <w:rFonts w:ascii="Courier New" w:hAnsi="Courier New" w:cs="Courier New" w:hint="default"/>
      </w:rPr>
    </w:lvl>
    <w:lvl w:ilvl="5">
      <w:start w:val="1"/>
      <w:numFmt w:val="bullet"/>
      <w:lvlText w:val=""/>
      <w:lvlJc w:val="left"/>
      <w:pPr>
        <w:tabs>
          <w:tab w:val="num" w:pos="0"/>
        </w:tabs>
        <w:ind w:start="4464" w:hanging="360"/>
      </w:pPr>
      <w:rPr>
        <w:rFonts w:ascii="Wingdings" w:hAnsi="Wingdings" w:cs="Wingdings" w:hint="default"/>
      </w:rPr>
    </w:lvl>
    <w:lvl w:ilvl="6">
      <w:start w:val="1"/>
      <w:numFmt w:val="bullet"/>
      <w:lvlText w:val=""/>
      <w:lvlJc w:val="left"/>
      <w:pPr>
        <w:tabs>
          <w:tab w:val="num" w:pos="0"/>
        </w:tabs>
        <w:ind w:start="5184" w:hanging="360"/>
      </w:pPr>
      <w:rPr>
        <w:rFonts w:ascii="Symbol" w:hAnsi="Symbol" w:cs="Symbol" w:hint="default"/>
      </w:rPr>
    </w:lvl>
    <w:lvl w:ilvl="7">
      <w:start w:val="1"/>
      <w:numFmt w:val="bullet"/>
      <w:lvlText w:val="o"/>
      <w:lvlJc w:val="left"/>
      <w:pPr>
        <w:tabs>
          <w:tab w:val="num" w:pos="0"/>
        </w:tabs>
        <w:ind w:start="5904" w:hanging="360"/>
      </w:pPr>
      <w:rPr>
        <w:rFonts w:ascii="Courier New" w:hAnsi="Courier New" w:cs="Courier New" w:hint="default"/>
      </w:rPr>
    </w:lvl>
    <w:lvl w:ilvl="8">
      <w:start w:val="1"/>
      <w:numFmt w:val="bullet"/>
      <w:lvlText w:val=""/>
      <w:lvlJc w:val="left"/>
      <w:pPr>
        <w:tabs>
          <w:tab w:val="num" w:pos="0"/>
        </w:tabs>
        <w:ind w:start="6624" w:hanging="360"/>
      </w:pPr>
      <w:rPr>
        <w:rFonts w:ascii="Wingdings" w:hAnsi="Wingdings" w:cs="Wingdings" w:hint="default"/>
      </w:rPr>
    </w:lvl>
  </w:abstractNum>
  <w:abstractNum w:abstractNumId="10">
    <w:lvl w:ilvl="0">
      <w:start w:val="1"/>
      <w:numFmt w:val="bullet"/>
      <w:lvlText w:val=""/>
      <w:lvlJc w:val="left"/>
      <w:pPr>
        <w:tabs>
          <w:tab w:val="num" w:pos="0"/>
        </w:tabs>
        <w:ind w:start="108" w:hanging="360"/>
      </w:pPr>
      <w:rPr>
        <w:rFonts w:ascii="Symbol" w:hAnsi="Symbol" w:cs="Symbol" w:hint="default"/>
      </w:rPr>
    </w:lvl>
    <w:lvl w:ilvl="1">
      <w:start w:val="1"/>
      <w:numFmt w:val="bullet"/>
      <w:lvlText w:val="o"/>
      <w:lvlJc w:val="left"/>
      <w:pPr>
        <w:tabs>
          <w:tab w:val="num" w:pos="0"/>
        </w:tabs>
        <w:ind w:start="828" w:hanging="360"/>
      </w:pPr>
      <w:rPr>
        <w:rFonts w:ascii="Courier New" w:hAnsi="Courier New" w:cs="Courier New"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1">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2">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Symbol" w:hAnsi="Symbol" w:cs="Symbol"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3">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Wingdings" w:hAnsi="Wingdings" w:cs="Wingdings"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4">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6">
    <w:lvl w:ilvl="0">
      <w:start w:val="1"/>
      <w:numFmt w:val="bullet"/>
      <w:lvlText w:val=""/>
      <w:lvlJc w:val="left"/>
      <w:pPr>
        <w:tabs>
          <w:tab w:val="num" w:pos="0"/>
        </w:tabs>
        <w:ind w:start="360" w:hanging="360"/>
      </w:pPr>
      <w:rPr>
        <w:rFonts w:ascii="Symbol" w:hAnsi="Symbol" w:cs="Symbol" w:hint="default"/>
      </w:rPr>
    </w:lvl>
    <w:lvl w:ilvl="1">
      <w:start w:val="1"/>
      <w:numFmt w:val="bullet"/>
      <w:lvlText w:val=""/>
      <w:lvlJc w:val="left"/>
      <w:pPr>
        <w:tabs>
          <w:tab w:val="num" w:pos="0"/>
        </w:tabs>
        <w:ind w:start="1080" w:hanging="360"/>
      </w:pPr>
      <w:rPr>
        <w:rFonts w:ascii="Wingdings" w:hAnsi="Wingdings" w:cs="Wingdings"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7">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8">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9">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0">
    <w:lvl w:ilvl="0">
      <w:start w:val="1"/>
      <w:numFmt w:val="bullet"/>
      <w:lvlText w:val=""/>
      <w:lvlJc w:val="left"/>
      <w:pPr>
        <w:tabs>
          <w:tab w:val="num" w:pos="0"/>
        </w:tabs>
        <w:ind w:start="883" w:hanging="360"/>
      </w:pPr>
      <w:rPr>
        <w:rFonts w:ascii="Symbol" w:hAnsi="Symbol" w:cs="Symbol" w:hint="default"/>
      </w:rPr>
    </w:lvl>
    <w:lvl w:ilvl="1">
      <w:start w:val="1"/>
      <w:numFmt w:val="bullet"/>
      <w:lvlText w:val="o"/>
      <w:lvlJc w:val="left"/>
      <w:pPr>
        <w:tabs>
          <w:tab w:val="num" w:pos="0"/>
        </w:tabs>
        <w:ind w:start="1603" w:hanging="360"/>
      </w:pPr>
      <w:rPr>
        <w:rFonts w:ascii="Courier New" w:hAnsi="Courier New" w:cs="Courier New" w:hint="default"/>
      </w:rPr>
    </w:lvl>
    <w:lvl w:ilvl="2">
      <w:start w:val="1"/>
      <w:numFmt w:val="bullet"/>
      <w:lvlText w:val=""/>
      <w:lvlJc w:val="left"/>
      <w:pPr>
        <w:tabs>
          <w:tab w:val="num" w:pos="0"/>
        </w:tabs>
        <w:ind w:start="2323" w:hanging="360"/>
      </w:pPr>
      <w:rPr>
        <w:rFonts w:ascii="Wingdings" w:hAnsi="Wingdings" w:cs="Wingdings" w:hint="default"/>
      </w:rPr>
    </w:lvl>
    <w:lvl w:ilvl="3">
      <w:start w:val="1"/>
      <w:numFmt w:val="bullet"/>
      <w:lvlText w:val=""/>
      <w:lvlJc w:val="left"/>
      <w:pPr>
        <w:tabs>
          <w:tab w:val="num" w:pos="0"/>
        </w:tabs>
        <w:ind w:start="3043" w:hanging="360"/>
      </w:pPr>
      <w:rPr>
        <w:rFonts w:ascii="Symbol" w:hAnsi="Symbol" w:cs="Symbol" w:hint="default"/>
      </w:rPr>
    </w:lvl>
    <w:lvl w:ilvl="4">
      <w:start w:val="1"/>
      <w:numFmt w:val="bullet"/>
      <w:lvlText w:val="o"/>
      <w:lvlJc w:val="left"/>
      <w:pPr>
        <w:tabs>
          <w:tab w:val="num" w:pos="0"/>
        </w:tabs>
        <w:ind w:start="3763" w:hanging="360"/>
      </w:pPr>
      <w:rPr>
        <w:rFonts w:ascii="Courier New" w:hAnsi="Courier New" w:cs="Courier New" w:hint="default"/>
      </w:rPr>
    </w:lvl>
    <w:lvl w:ilvl="5">
      <w:start w:val="1"/>
      <w:numFmt w:val="bullet"/>
      <w:lvlText w:val=""/>
      <w:lvlJc w:val="left"/>
      <w:pPr>
        <w:tabs>
          <w:tab w:val="num" w:pos="0"/>
        </w:tabs>
        <w:ind w:start="4483" w:hanging="360"/>
      </w:pPr>
      <w:rPr>
        <w:rFonts w:ascii="Wingdings" w:hAnsi="Wingdings" w:cs="Wingdings" w:hint="default"/>
      </w:rPr>
    </w:lvl>
    <w:lvl w:ilvl="6">
      <w:start w:val="1"/>
      <w:numFmt w:val="bullet"/>
      <w:lvlText w:val=""/>
      <w:lvlJc w:val="left"/>
      <w:pPr>
        <w:tabs>
          <w:tab w:val="num" w:pos="0"/>
        </w:tabs>
        <w:ind w:start="5203" w:hanging="360"/>
      </w:pPr>
      <w:rPr>
        <w:rFonts w:ascii="Symbol" w:hAnsi="Symbol" w:cs="Symbol" w:hint="default"/>
      </w:rPr>
    </w:lvl>
    <w:lvl w:ilvl="7">
      <w:start w:val="1"/>
      <w:numFmt w:val="bullet"/>
      <w:lvlText w:val="o"/>
      <w:lvlJc w:val="left"/>
      <w:pPr>
        <w:tabs>
          <w:tab w:val="num" w:pos="0"/>
        </w:tabs>
        <w:ind w:start="5923" w:hanging="360"/>
      </w:pPr>
      <w:rPr>
        <w:rFonts w:ascii="Courier New" w:hAnsi="Courier New" w:cs="Courier New" w:hint="default"/>
      </w:rPr>
    </w:lvl>
    <w:lvl w:ilvl="8">
      <w:start w:val="1"/>
      <w:numFmt w:val="bullet"/>
      <w:lvlText w:val=""/>
      <w:lvlJc w:val="left"/>
      <w:pPr>
        <w:tabs>
          <w:tab w:val="num" w:pos="0"/>
        </w:tabs>
        <w:ind w:start="6643" w:hanging="360"/>
      </w:pPr>
      <w:rPr>
        <w:rFonts w:ascii="Wingdings" w:hAnsi="Wingdings" w:cs="Wingdings" w:hint="default"/>
      </w:rPr>
    </w:lvl>
  </w:abstractNum>
  <w:abstractNum w:abstractNumId="21">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22">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3">
    <w:lvl w:ilvl="0">
      <w:start w:val="1"/>
      <w:numFmt w:val="decimal"/>
      <w:lvlText w:val="%1."/>
      <w:lvlJc w:val="left"/>
      <w:pPr>
        <w:tabs>
          <w:tab w:val="num" w:pos="0"/>
        </w:tabs>
        <w:ind w:start="360" w:hanging="360"/>
      </w:pPr>
      <w:rPr/>
    </w:lvl>
    <w:lvl w:ilvl="1">
      <w:start w:val="1"/>
      <w:numFmt w:val="lowerLetter"/>
      <w:lvlText w:val="%2."/>
      <w:lvlJc w:val="left"/>
      <w:pPr>
        <w:tabs>
          <w:tab w:val="num" w:pos="0"/>
        </w:tabs>
        <w:ind w:start="1080" w:hanging="360"/>
      </w:pPr>
      <w:rPr/>
    </w:lvl>
    <w:lvl w:ilvl="2">
      <w:start w:val="1"/>
      <w:numFmt w:val="lowerRoman"/>
      <w:lvlText w:val="%3."/>
      <w:lvlJc w:val="right"/>
      <w:pPr>
        <w:tabs>
          <w:tab w:val="num" w:pos="0"/>
        </w:tabs>
        <w:ind w:start="1800" w:hanging="180"/>
      </w:pPr>
      <w:rPr/>
    </w:lvl>
    <w:lvl w:ilvl="3">
      <w:start w:val="1"/>
      <w:numFmt w:val="decimal"/>
      <w:lvlText w:val="%4."/>
      <w:lvlJc w:val="left"/>
      <w:pPr>
        <w:tabs>
          <w:tab w:val="num" w:pos="0"/>
        </w:tabs>
        <w:ind w:start="2520" w:hanging="360"/>
      </w:pPr>
      <w:rPr/>
    </w:lvl>
    <w:lvl w:ilvl="4">
      <w:start w:val="1"/>
      <w:numFmt w:val="lowerLetter"/>
      <w:lvlText w:val="%5."/>
      <w:lvlJc w:val="left"/>
      <w:pPr>
        <w:tabs>
          <w:tab w:val="num" w:pos="0"/>
        </w:tabs>
        <w:ind w:start="3240" w:hanging="360"/>
      </w:pPr>
      <w:rPr/>
    </w:lvl>
    <w:lvl w:ilvl="5">
      <w:start w:val="1"/>
      <w:numFmt w:val="lowerRoman"/>
      <w:lvlText w:val="%6."/>
      <w:lvlJc w:val="right"/>
      <w:pPr>
        <w:tabs>
          <w:tab w:val="num" w:pos="0"/>
        </w:tabs>
        <w:ind w:start="3960" w:hanging="180"/>
      </w:pPr>
      <w:rPr/>
    </w:lvl>
    <w:lvl w:ilvl="6">
      <w:start w:val="1"/>
      <w:numFmt w:val="decimal"/>
      <w:lvlText w:val="%7."/>
      <w:lvlJc w:val="left"/>
      <w:pPr>
        <w:tabs>
          <w:tab w:val="num" w:pos="0"/>
        </w:tabs>
        <w:ind w:start="4680" w:hanging="360"/>
      </w:pPr>
      <w:rPr/>
    </w:lvl>
    <w:lvl w:ilvl="7">
      <w:start w:val="1"/>
      <w:numFmt w:val="lowerLetter"/>
      <w:lvlText w:val="%8."/>
      <w:lvlJc w:val="left"/>
      <w:pPr>
        <w:tabs>
          <w:tab w:val="num" w:pos="0"/>
        </w:tabs>
        <w:ind w:start="5400" w:hanging="360"/>
      </w:pPr>
      <w:rPr/>
    </w:lvl>
    <w:lvl w:ilvl="8">
      <w:start w:val="1"/>
      <w:numFmt w:val="lowerRoman"/>
      <w:lvlText w:val="%9."/>
      <w:lvlJc w:val="right"/>
      <w:pPr>
        <w:tabs>
          <w:tab w:val="num" w:pos="0"/>
        </w:tabs>
        <w:ind w:start="6120" w:hanging="180"/>
      </w:pPr>
      <w:rPr/>
    </w:lvl>
  </w:abstractNum>
  <w:abstractNum w:abstractNumId="24">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6">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9"/>
  </w:docVars>
  <w:themeFontLang w:val="en-CA" w:eastAsia="ja-JP" w:bidi="ar-SA"/>
  <w:updateFields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4"/>
        <w:szCs w:val="24"/>
        <w:lang w:val="en-CA" w:eastAsia="en-US" w:bidi="ar-SA"/>
      </w:rPr>
    </w:rPrDefault>
    <w:pPrDefault>
      <w:pPr>
        <w:suppressAutoHyphens w:val="true"/>
      </w:pPr>
    </w:pPrDefault>
  </w:docDefaults>
  <w:latentStyles w:defLockedState="0" w:defUIPriority="99" w:defSemiHidden="0" w:defUnhideWhenUsed="0" w:defQFormat="0" w:count="376">
    <w:lsdException w:name="Normal" w:uiPriority="0"/>
    <w:lsdException w:name="heading 1" w:uiPriority="1"/>
    <w:lsdException w:name="heading 2" w:uiPriority="0" w:semiHidden="1" w:unhideWhenUsed="1"/>
    <w:lsdException w:name="heading 3" w:uiPriority="0" w:semiHidden="1" w:unhideWhenUsed="1"/>
    <w:lsdException w:name="heading 4" w:uiPriority="0" w:semiHidden="1" w:unhideWhenUsed="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uiPriority="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935b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Heading1">
    <w:name w:val="heading 1"/>
    <w:basedOn w:val="Normal"/>
    <w:next w:val="Normal"/>
    <w:link w:val="Heading1Char"/>
    <w:uiPriority w:val="1"/>
    <w:rsid w:val="00fb0b34"/>
    <w:pPr>
      <w:keepNext w:val="true"/>
      <w:numPr>
        <w:ilvl w:val="0"/>
        <w:numId w:val="1"/>
      </w:numPr>
      <w:outlineLvl w:val="0"/>
    </w:pPr>
    <w:rPr>
      <w:rFonts w:eastAsia="Cambria" w:cs="Cambria" w:cstheme="minorHAnsi" w:eastAsiaTheme="minorHAnsi"/>
      <w:b/>
      <w:bCs/>
      <w:kern w:val="2"/>
      <w:sz w:val="28"/>
      <w:szCs w:val="32"/>
      <w:lang w:eastAsia="en-CA"/>
    </w:rPr>
  </w:style>
  <w:style w:type="paragraph" w:styleId="Heading2">
    <w:name w:val="heading 2"/>
    <w:basedOn w:val="Normal"/>
    <w:next w:val="Normal"/>
    <w:link w:val="Heading2Char"/>
    <w:unhideWhenUsed/>
    <w:rsid w:val="00fb0b34"/>
    <w:pPr>
      <w:keepNext w:val="true"/>
      <w:keepLines/>
      <w:numPr>
        <w:ilvl w:val="1"/>
        <w:numId w:val="1"/>
      </w:numPr>
      <w:tabs>
        <w:tab w:val="clear" w:pos="720"/>
        <w:tab w:val="left" w:pos="426" w:leader="none"/>
      </w:tabs>
      <w:spacing w:before="240" w:after="0"/>
      <w:outlineLvl w:val="1"/>
    </w:pPr>
    <w:rPr>
      <w:rFonts w:eastAsia="" w:cs="Cambria" w:cstheme="minorHAnsi" w:eastAsiaTheme="majorEastAsia"/>
      <w:b/>
      <w:bCs/>
      <w:color w:themeColor="text1" w:val="000000"/>
      <w:szCs w:val="26"/>
      <w:lang w:val="en-US" w:eastAsia="en-CA"/>
    </w:rPr>
  </w:style>
  <w:style w:type="paragraph" w:styleId="Heading3">
    <w:name w:val="heading 3"/>
    <w:basedOn w:val="Normal"/>
    <w:next w:val="Normal"/>
    <w:link w:val="Heading3Char"/>
    <w:unhideWhenUsed/>
    <w:rsid w:val="00fb0b34"/>
    <w:pPr>
      <w:keepNext w:val="true"/>
      <w:keepLines/>
      <w:numPr>
        <w:ilvl w:val="2"/>
        <w:numId w:val="1"/>
      </w:numPr>
      <w:outlineLvl w:val="2"/>
    </w:pPr>
    <w:rPr>
      <w:rFonts w:eastAsia="" w:cs="" w:cstheme="majorBidi" w:eastAsiaTheme="majorEastAsia"/>
      <w:b/>
      <w:bCs/>
      <w:color w:themeColor="text1" w:val="000000"/>
      <w:sz w:val="22"/>
      <w:lang w:val="en-US" w:eastAsia="en-CA"/>
    </w:rPr>
  </w:style>
  <w:style w:type="paragraph" w:styleId="Heading4">
    <w:name w:val="heading 4"/>
    <w:basedOn w:val="Heading3"/>
    <w:next w:val="Normal"/>
    <w:link w:val="Heading4Char"/>
    <w:unhideWhenUsed/>
    <w:rsid w:val="00fb0b34"/>
    <w:pPr>
      <w:numPr>
        <w:ilvl w:val="3"/>
        <w:numId w:val="1"/>
      </w:numPr>
      <w:spacing w:before="200" w:after="0"/>
      <w:outlineLvl w:val="3"/>
    </w:pPr>
    <w:rPr>
      <w:bCs w:val="false"/>
      <w:i/>
      <w:iCs/>
    </w:rPr>
  </w:style>
  <w:style w:type="paragraph" w:styleId="Heading5">
    <w:name w:val="heading 5"/>
    <w:basedOn w:val="Normal"/>
    <w:next w:val="Normal"/>
    <w:link w:val="Heading5Char"/>
    <w:uiPriority w:val="9"/>
    <w:semiHidden/>
    <w:unhideWhenUsed/>
    <w:rsid w:val="00fb0b34"/>
    <w:pPr>
      <w:keepNext w:val="true"/>
      <w:keepLines/>
      <w:numPr>
        <w:ilvl w:val="4"/>
        <w:numId w:val="1"/>
      </w:numPr>
      <w:spacing w:before="200" w:after="0"/>
      <w:outlineLvl w:val="4"/>
    </w:pPr>
    <w:rPr>
      <w:rFonts w:ascii="Calibri" w:hAnsi="Calibri" w:eastAsia="" w:cs="" w:asciiTheme="majorHAnsi" w:cstheme="majorBidi" w:eastAsiaTheme="majorEastAsia" w:hAnsiTheme="majorHAnsi"/>
      <w:color w:themeColor="accent1" w:themeShade="7f" w:val="243F60"/>
      <w:sz w:val="22"/>
      <w:lang w:val="en-US" w:eastAsia="en-CA"/>
    </w:rPr>
  </w:style>
  <w:style w:type="paragraph" w:styleId="Heading6">
    <w:name w:val="heading 6"/>
    <w:basedOn w:val="Normal"/>
    <w:next w:val="Normal"/>
    <w:link w:val="Heading6Char"/>
    <w:semiHidden/>
    <w:unhideWhenUsed/>
    <w:qFormat/>
    <w:rsid w:val="00fb0b34"/>
    <w:pPr>
      <w:keepNext w:val="true"/>
      <w:keepLines/>
      <w:numPr>
        <w:ilvl w:val="5"/>
        <w:numId w:val="1"/>
      </w:numPr>
      <w:spacing w:before="200" w:after="0"/>
      <w:outlineLvl w:val="5"/>
    </w:pPr>
    <w:rPr>
      <w:rFonts w:ascii="Calibri" w:hAnsi="Calibri" w:eastAsia="" w:cs="" w:asciiTheme="majorHAnsi" w:cstheme="majorBidi" w:eastAsiaTheme="majorEastAsia" w:hAnsiTheme="majorHAnsi"/>
      <w:i/>
      <w:iCs/>
      <w:color w:themeColor="accent1" w:themeShade="7f" w:val="243F60"/>
      <w:sz w:val="22"/>
      <w:lang w:val="en-US" w:eastAsia="en-CA"/>
    </w:rPr>
  </w:style>
  <w:style w:type="paragraph" w:styleId="Heading7">
    <w:name w:val="heading 7"/>
    <w:basedOn w:val="Normal"/>
    <w:next w:val="Normal"/>
    <w:link w:val="Heading7Char"/>
    <w:semiHidden/>
    <w:unhideWhenUsed/>
    <w:qFormat/>
    <w:rsid w:val="00fb0b34"/>
    <w:pPr>
      <w:keepNext w:val="true"/>
      <w:keepLines/>
      <w:numPr>
        <w:ilvl w:val="6"/>
        <w:numId w:val="1"/>
      </w:numPr>
      <w:spacing w:before="200" w:after="0"/>
      <w:outlineLvl w:val="6"/>
    </w:pPr>
    <w:rPr>
      <w:rFonts w:ascii="Calibri" w:hAnsi="Calibri" w:eastAsia="" w:cs="" w:asciiTheme="majorHAnsi" w:cstheme="majorBidi" w:eastAsiaTheme="majorEastAsia" w:hAnsiTheme="majorHAnsi"/>
      <w:i/>
      <w:iCs/>
      <w:color w:themeColor="text1" w:themeTint="bf" w:val="404040"/>
      <w:sz w:val="22"/>
      <w:lang w:val="en-US" w:eastAsia="en-CA"/>
    </w:rPr>
  </w:style>
  <w:style w:type="paragraph" w:styleId="Heading8">
    <w:name w:val="heading 8"/>
    <w:basedOn w:val="Normal"/>
    <w:next w:val="Normal"/>
    <w:link w:val="Heading8Char"/>
    <w:semiHidden/>
    <w:unhideWhenUsed/>
    <w:qFormat/>
    <w:rsid w:val="00fb0b34"/>
    <w:pPr>
      <w:keepNext w:val="true"/>
      <w:keepLines/>
      <w:numPr>
        <w:ilvl w:val="7"/>
        <w:numId w:val="1"/>
      </w:numPr>
      <w:spacing w:before="200" w:after="0"/>
      <w:outlineLvl w:val="7"/>
    </w:pPr>
    <w:rPr>
      <w:rFonts w:ascii="Calibri" w:hAnsi="Calibri" w:eastAsia="" w:cs="" w:asciiTheme="majorHAnsi" w:cstheme="majorBidi" w:eastAsiaTheme="majorEastAsia" w:hAnsiTheme="majorHAnsi"/>
      <w:color w:themeColor="text1" w:themeTint="bf" w:val="404040"/>
      <w:sz w:val="20"/>
      <w:szCs w:val="20"/>
      <w:lang w:val="en-US" w:eastAsia="en-CA"/>
    </w:rPr>
  </w:style>
  <w:style w:type="paragraph" w:styleId="Heading9">
    <w:name w:val="heading 9"/>
    <w:basedOn w:val="Normal"/>
    <w:next w:val="Normal"/>
    <w:link w:val="Heading9Char"/>
    <w:semiHidden/>
    <w:unhideWhenUsed/>
    <w:qFormat/>
    <w:rsid w:val="00fb0b34"/>
    <w:pPr>
      <w:keepNext w:val="true"/>
      <w:keepLines/>
      <w:numPr>
        <w:ilvl w:val="8"/>
        <w:numId w:val="1"/>
      </w:numPr>
      <w:spacing w:before="200" w:after="0"/>
      <w:outlineLvl w:val="8"/>
    </w:pPr>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1"/>
    <w:rsid w:val="00fb0b34"/>
    <w:rPr>
      <w:rFonts w:eastAsia="Cambria" w:cs="Cambria" w:cstheme="minorHAnsi" w:eastAsiaTheme="minorHAnsi"/>
      <w:b/>
      <w:bCs/>
      <w:kern w:val="2"/>
      <w:sz w:val="28"/>
      <w:szCs w:val="32"/>
      <w:lang w:eastAsia="en-CA"/>
    </w:rPr>
  </w:style>
  <w:style w:type="character" w:styleId="Heading2Char" w:customStyle="1">
    <w:name w:val="Heading 2 Char"/>
    <w:basedOn w:val="DefaultParagraphFont"/>
    <w:link w:val="Heading2"/>
    <w:rsid w:val="00fb0b34"/>
    <w:rPr>
      <w:rFonts w:eastAsia="" w:cs="Cambria" w:cstheme="minorHAnsi" w:eastAsiaTheme="majorEastAsia"/>
      <w:b/>
      <w:bCs/>
      <w:color w:themeColor="text1" w:val="000000"/>
      <w:szCs w:val="26"/>
      <w:lang w:val="en-US" w:eastAsia="en-CA"/>
    </w:rPr>
  </w:style>
  <w:style w:type="character" w:styleId="Heading3Char" w:customStyle="1">
    <w:name w:val="Heading 3 Char"/>
    <w:basedOn w:val="DefaultParagraphFont"/>
    <w:link w:val="Heading3"/>
    <w:rsid w:val="00fb0b34"/>
    <w:rPr>
      <w:rFonts w:eastAsia="" w:cs="" w:cstheme="majorBidi" w:eastAsiaTheme="majorEastAsia"/>
      <w:b/>
      <w:bCs/>
      <w:color w:themeColor="text1" w:val="000000"/>
      <w:sz w:val="22"/>
      <w:lang w:val="en-US" w:eastAsia="en-CA"/>
    </w:rPr>
  </w:style>
  <w:style w:type="character" w:styleId="Heading4Char" w:customStyle="1">
    <w:name w:val="Heading 4 Char"/>
    <w:basedOn w:val="DefaultParagraphFont"/>
    <w:link w:val="Heading4"/>
    <w:rsid w:val="00fb0b34"/>
    <w:rPr>
      <w:rFonts w:eastAsia="" w:cs="" w:cstheme="majorBidi" w:eastAsiaTheme="majorEastAsia"/>
      <w:b/>
      <w:i/>
      <w:iCs/>
      <w:color w:themeColor="text1" w:val="000000"/>
      <w:sz w:val="22"/>
      <w:lang w:val="en-US" w:eastAsia="en-CA"/>
    </w:rPr>
  </w:style>
  <w:style w:type="character" w:styleId="Heading5Char" w:customStyle="1">
    <w:name w:val="Heading 5 Char"/>
    <w:basedOn w:val="DefaultParagraphFont"/>
    <w:link w:val="Heading5"/>
    <w:uiPriority w:val="9"/>
    <w:semiHidden/>
    <w:rsid w:val="00fb0b34"/>
    <w:rPr>
      <w:rFonts w:ascii="Calibri" w:hAnsi="Calibri" w:eastAsia="" w:cs="" w:asciiTheme="majorHAnsi" w:cstheme="majorBidi" w:eastAsiaTheme="majorEastAsia" w:hAnsiTheme="majorHAnsi"/>
      <w:color w:themeColor="accent1" w:themeShade="7f" w:val="243F60"/>
      <w:sz w:val="22"/>
      <w:lang w:val="en-US" w:eastAsia="en-CA"/>
    </w:rPr>
  </w:style>
  <w:style w:type="character" w:styleId="Heading6Char" w:customStyle="1">
    <w:name w:val="Heading 6 Char"/>
    <w:basedOn w:val="DefaultParagraphFont"/>
    <w:link w:val="Heading6"/>
    <w:semiHidden/>
    <w:rsid w:val="00fb0b34"/>
    <w:rPr>
      <w:rFonts w:ascii="Calibri" w:hAnsi="Calibri" w:eastAsia="" w:cs="" w:asciiTheme="majorHAnsi" w:cstheme="majorBidi" w:eastAsiaTheme="majorEastAsia" w:hAnsiTheme="majorHAnsi"/>
      <w:i/>
      <w:iCs/>
      <w:color w:themeColor="accent1" w:themeShade="7f" w:val="243F60"/>
      <w:sz w:val="22"/>
      <w:lang w:val="en-US" w:eastAsia="en-CA"/>
    </w:rPr>
  </w:style>
  <w:style w:type="character" w:styleId="Heading7Char" w:customStyle="1">
    <w:name w:val="Heading 7 Char"/>
    <w:basedOn w:val="DefaultParagraphFont"/>
    <w:link w:val="Heading7"/>
    <w:semiHidden/>
    <w:rsid w:val="00fb0b34"/>
    <w:rPr>
      <w:rFonts w:ascii="Calibri" w:hAnsi="Calibri" w:eastAsia="" w:cs="" w:asciiTheme="majorHAnsi" w:cstheme="majorBidi" w:eastAsiaTheme="majorEastAsia" w:hAnsiTheme="majorHAnsi"/>
      <w:i/>
      <w:iCs/>
      <w:color w:themeColor="text1" w:themeTint="bf" w:val="404040"/>
      <w:sz w:val="22"/>
      <w:lang w:val="en-US" w:eastAsia="en-CA"/>
    </w:rPr>
  </w:style>
  <w:style w:type="character" w:styleId="Heading8Char" w:customStyle="1">
    <w:name w:val="Heading 8 Char"/>
    <w:basedOn w:val="DefaultParagraphFont"/>
    <w:link w:val="Heading8"/>
    <w:semiHidden/>
    <w:rsid w:val="00fb0b34"/>
    <w:rPr>
      <w:rFonts w:ascii="Calibri" w:hAnsi="Calibri" w:eastAsia="" w:cs="" w:asciiTheme="majorHAnsi" w:cstheme="majorBidi" w:eastAsiaTheme="majorEastAsia" w:hAnsiTheme="majorHAnsi"/>
      <w:color w:themeColor="text1" w:themeTint="bf" w:val="404040"/>
      <w:sz w:val="20"/>
      <w:szCs w:val="20"/>
      <w:lang w:val="en-US" w:eastAsia="en-CA"/>
    </w:rPr>
  </w:style>
  <w:style w:type="character" w:styleId="Heading9Char" w:customStyle="1">
    <w:name w:val="Heading 9 Char"/>
    <w:basedOn w:val="DefaultParagraphFont"/>
    <w:link w:val="Heading9"/>
    <w:semiHidden/>
    <w:rsid w:val="00fb0b34"/>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HeaderChar" w:customStyle="1">
    <w:name w:val="Header Char"/>
    <w:basedOn w:val="DefaultParagraphFont"/>
    <w:link w:val="Header"/>
    <w:uiPriority w:val="99"/>
    <w:rsid w:val="00e45a17"/>
    <w:rPr/>
  </w:style>
  <w:style w:type="character" w:styleId="FooterChar" w:customStyle="1">
    <w:name w:val="Footer Char"/>
    <w:basedOn w:val="DefaultParagraphFont"/>
    <w:link w:val="Footer"/>
    <w:uiPriority w:val="99"/>
    <w:rsid w:val="00e45a17"/>
    <w:rPr/>
  </w:style>
  <w:style w:type="character" w:styleId="Hyperlink">
    <w:name w:val="Hyperlink"/>
    <w:basedOn w:val="DefaultParagraphFont"/>
    <w:uiPriority w:val="99"/>
    <w:unhideWhenUsed/>
    <w:rsid w:val="00fb0b34"/>
    <w:rPr>
      <w:color w:themeColor="hyperlink" w:val="0000FF"/>
      <w:u w:val="single"/>
    </w:rPr>
  </w:style>
  <w:style w:type="character" w:styleId="FootnoteTextChar" w:customStyle="1">
    <w:name w:val="Footnote Text Char"/>
    <w:basedOn w:val="DefaultParagraphFont"/>
    <w:link w:val="FootnoteText"/>
    <w:rsid w:val="00e9397f"/>
    <w:rPr>
      <w:rFonts w:ascii="Arial" w:hAnsi="Arial" w:eastAsia="Cambria" w:cs="Times New Roman" w:eastAsiaTheme="minorHAnsi"/>
      <w:sz w:val="16"/>
      <w:szCs w:val="20"/>
      <w:lang w:val="en-US" w:eastAsia="en-CA"/>
    </w:rPr>
  </w:style>
  <w:style w:type="character" w:styleId="CommentTextChar" w:customStyle="1">
    <w:name w:val="Comment Text Char"/>
    <w:basedOn w:val="DefaultParagraphFont"/>
    <w:link w:val="CommentText"/>
    <w:uiPriority w:val="99"/>
    <w:rPr/>
  </w:style>
  <w:style w:type="character" w:styleId="CommentReference">
    <w:name w:val="annotation reference"/>
    <w:basedOn w:val="DefaultParagraphFont"/>
    <w:uiPriority w:val="99"/>
    <w:unhideWhenUsed/>
    <w:rPr>
      <w:sz w:val="18"/>
      <w:szCs w:val="18"/>
    </w:rPr>
  </w:style>
  <w:style w:type="character" w:styleId="BalloonTextChar" w:customStyle="1">
    <w:name w:val="Balloon Text Char"/>
    <w:basedOn w:val="DefaultParagraphFont"/>
    <w:link w:val="BalloonText"/>
    <w:uiPriority w:val="99"/>
    <w:semiHidden/>
    <w:rsid w:val="003071ed"/>
    <w:rPr>
      <w:rFonts w:ascii="Lucida Grande" w:hAnsi="Lucida Grande" w:cs="Lucida Grande"/>
      <w:sz w:val="18"/>
      <w:szCs w:val="18"/>
    </w:rPr>
  </w:style>
  <w:style w:type="character" w:styleId="QuoteChar" w:customStyle="1">
    <w:name w:val="Quote Char"/>
    <w:basedOn w:val="DefaultParagraphFont"/>
    <w:link w:val="Quote"/>
    <w:uiPriority w:val="29"/>
    <w:rsid w:val="0018572f"/>
    <w:rPr>
      <w:i/>
      <w:iCs/>
      <w:color w:themeColor="text1" w:val="000000"/>
    </w:rPr>
  </w:style>
  <w:style w:type="character" w:styleId="PlaceholderText">
    <w:name w:val="Placeholder Text"/>
    <w:basedOn w:val="DefaultParagraphFont"/>
    <w:uiPriority w:val="99"/>
    <w:semiHidden/>
    <w:rsid w:val="0065535f"/>
    <w:rPr>
      <w:color w:val="808080"/>
    </w:rPr>
  </w:style>
  <w:style w:type="character" w:styleId="CommentSubjectChar" w:customStyle="1">
    <w:name w:val="Comment Subject Char"/>
    <w:basedOn w:val="CommentTextChar"/>
    <w:link w:val="annotationsubject"/>
    <w:uiPriority w:val="99"/>
    <w:semiHidden/>
    <w:rsid w:val="003b5577"/>
    <w:rPr>
      <w:b/>
      <w:bCs/>
      <w:sz w:val="20"/>
      <w:szCs w:val="20"/>
    </w:rPr>
  </w:style>
  <w:style w:type="character" w:styleId="Emphasis">
    <w:name w:val="Emphasis"/>
    <w:basedOn w:val="DefaultParagraphFont"/>
    <w:uiPriority w:val="20"/>
    <w:rsid w:val="003f70d9"/>
    <w:rPr>
      <w:i/>
      <w:iCs/>
    </w:rPr>
  </w:style>
  <w:style w:type="character" w:styleId="UnresolvedMention1" w:customStyle="1">
    <w:name w:val="Unresolved Mention1"/>
    <w:basedOn w:val="DefaultParagraphFont"/>
    <w:uiPriority w:val="99"/>
    <w:semiHidden/>
    <w:unhideWhenUsed/>
    <w:rsid w:val="00da2234"/>
    <w:rPr>
      <w:color w:val="605E5C"/>
      <w:shd w:fill="E1DFDD" w:val="clear"/>
    </w:rPr>
  </w:style>
  <w:style w:type="character" w:styleId="BodyCopyWorkingChar" w:customStyle="1">
    <w:name w:val="Body Copy (Working) Char"/>
    <w:basedOn w:val="DefaultParagraphFont"/>
    <w:link w:val="BodyCopyWorking"/>
    <w:locked/>
    <w:rsid w:val="00ac7c54"/>
    <w:rPr>
      <w:rFonts w:ascii="Arial" w:hAnsi="Arial" w:cs="Arial"/>
      <w:sz w:val="18"/>
      <w:szCs w:val="18"/>
      <w:lang w:val="en-US"/>
    </w:rPr>
  </w:style>
  <w:style w:type="character" w:styleId="FollowedHyperlink">
    <w:name w:val="FollowedHyperlink"/>
    <w:basedOn w:val="DefaultParagraphFont"/>
    <w:uiPriority w:val="99"/>
    <w:semiHidden/>
    <w:unhideWhenUsed/>
    <w:rsid w:val="0048151a"/>
    <w:rPr>
      <w:color w:themeColor="followedHyperlink" w:val="800080"/>
      <w:u w:val="single"/>
    </w:rPr>
  </w:style>
  <w:style w:type="character" w:styleId="TableFooterCADTHChar" w:customStyle="1">
    <w:name w:val="Table Footer (CADTH) Char"/>
    <w:basedOn w:val="DefaultParagraphFont"/>
    <w:link w:val="TableFooterCADTH"/>
    <w:rsid w:val="008a1dff"/>
    <w:rPr>
      <w:rFonts w:ascii="Arial" w:hAnsi="Arial" w:cs="Arial"/>
      <w:sz w:val="14"/>
      <w:szCs w:val="14"/>
      <w:lang w:val="en-US"/>
    </w:rPr>
  </w:style>
  <w:style w:type="character" w:styleId="UnresolvedMention">
    <w:name w:val="Unresolved Mention"/>
    <w:basedOn w:val="DefaultParagraphFont"/>
    <w:uiPriority w:val="99"/>
    <w:semiHidden/>
    <w:unhideWhenUsed/>
    <w:rsid w:val="007464d1"/>
    <w:rPr>
      <w:color w:val="605E5C"/>
      <w:shd w:fill="E1DFDD" w:val="clear"/>
    </w:rPr>
  </w:style>
  <w:style w:type="character" w:styleId="ListParagraphChar" w:customStyle="1">
    <w:name w:val="List Paragraph Char"/>
    <w:basedOn w:val="DefaultParagraphFont"/>
    <w:link w:val="ListParagraph"/>
    <w:uiPriority w:val="34"/>
    <w:rsid w:val="006755d2"/>
    <w:rPr>
      <w:rFonts w:eastAsia="SimSun"/>
      <w:sz w:val="22"/>
      <w:szCs w:val="22"/>
    </w:rPr>
  </w:style>
  <w:style w:type="character" w:styleId="pCODR1BodyUnderBullet1stLevelChar" w:customStyle="1">
    <w:name w:val="pCODR 1 Body Under Bullet 1st Level Char"/>
    <w:basedOn w:val="DefaultParagraphFont"/>
    <w:link w:val="pCODR1BodyUnderBullet1stLevel"/>
    <w:rsid w:val="006755d2"/>
    <w:rPr>
      <w:rFonts w:ascii="Trebuchet MS" w:hAnsi="Trebuchet MS" w:eastAsia="Cambria" w:eastAsiaTheme="minorHAnsi"/>
      <w:sz w:val="21"/>
    </w:rPr>
  </w:style>
  <w:style w:type="character" w:styleId="Bulletedlistlvl1WorkingChar" w:customStyle="1">
    <w:name w:val="Bulleted list lvl 1 (Working) Char"/>
    <w:basedOn w:val="DefaultParagraphFont"/>
    <w:link w:val="Bulletedlistlvl1Working"/>
    <w:rsid w:val="00883041"/>
    <w:rPr>
      <w:rFonts w:ascii="Arial" w:hAnsi="Arial" w:cs="Arial"/>
      <w:sz w:val="18"/>
      <w:szCs w:val="18"/>
      <w:lang w:val="en-US"/>
    </w:rPr>
  </w:style>
  <w:style w:type="character" w:styleId="InstructionsWorkingChar" w:customStyle="1">
    <w:name w:val="Instructions (Working) Char"/>
    <w:basedOn w:val="DefaultParagraphFont"/>
    <w:link w:val="InstructionsWorking"/>
    <w:rsid w:val="00e93ecc"/>
    <w:rPr>
      <w:rFonts w:ascii="Arial" w:hAnsi="Arial" w:cs="Arial"/>
      <w:color w:val="C00000"/>
      <w:sz w:val="18"/>
      <w:szCs w:val="18"/>
      <w:lang w:val="en-US"/>
    </w:rPr>
  </w:style>
  <w:style w:type="character" w:styleId="Bulletslvl1WorkingChar" w:customStyle="1">
    <w:name w:val="Bullets lvl 1 (Working) Char"/>
    <w:basedOn w:val="InstructionsWorkingChar"/>
    <w:link w:val="Bulletslvl1Working"/>
    <w:rsid w:val="00e93ecc"/>
    <w:rPr>
      <w:rFonts w:ascii="Arial" w:hAnsi="Arial" w:cs="Arial"/>
      <w:color w:val="C00000"/>
      <w:sz w:val="18"/>
      <w:szCs w:val="18"/>
      <w:lang w:val="en-US"/>
    </w:rPr>
  </w:style>
  <w:style w:type="character" w:styleId="normaltextrun" w:customStyle="1">
    <w:name w:val="normaltextrun"/>
    <w:basedOn w:val="DefaultParagraphFont"/>
    <w:rsid w:val="00dc2d7a"/>
    <w:rPr/>
  </w:style>
  <w:style w:type="character" w:styleId="eop" w:customStyle="1">
    <w:name w:val="eop"/>
    <w:basedOn w:val="DefaultParagraphFont"/>
    <w:rsid w:val="00dc2d7a"/>
    <w:rPr/>
  </w:style>
  <w:style w:type="character" w:styleId="TableBodyCopyCADTHChar" w:customStyle="1">
    <w:name w:val="Table Body Copy (CADTH) Char"/>
    <w:basedOn w:val="DefaultParagraphFont"/>
    <w:link w:val="TableBodyCopyCADTH"/>
    <w:rsid w:val="00f75bd6"/>
    <w:rPr>
      <w:rFonts w:ascii="Arial" w:hAnsi="Arial" w:cs="MinionPro-Regular"/>
      <w:color w:val="000000"/>
      <w:sz w:val="18"/>
      <w:szCs w:val="18"/>
      <w:lang w:val="en-US"/>
    </w:rPr>
  </w:style>
  <w:style w:type="character" w:styleId="TableTitleCADTHChar" w:customStyle="1">
    <w:name w:val="Table Title (CADTH) Char"/>
    <w:basedOn w:val="DefaultParagraphFont"/>
    <w:link w:val="TableTitleCADTH"/>
    <w:rsid w:val="002c5f87"/>
    <w:rPr>
      <w:rFonts w:ascii="Arial" w:hAnsi="Arial" w:cs="MinionPro-Regular"/>
      <w:b/>
      <w:color w:val="0067B9"/>
      <w:lang w:val="en-US"/>
    </w:rPr>
  </w:style>
  <w:style w:type="character" w:styleId="TableFooterChar" w:customStyle="1">
    <w:name w:val="Table Footer Char"/>
    <w:basedOn w:val="DefaultParagraphFont"/>
    <w:link w:val="TableFooter"/>
    <w:rsid w:val="0077451a"/>
    <w:rPr>
      <w:rFonts w:ascii="Arial" w:hAnsi="Arial" w:cs="Arial"/>
      <w:sz w:val="14"/>
      <w:szCs w:val="14"/>
      <w:lang w:val="en-US"/>
    </w:rPr>
  </w:style>
  <w:style w:type="character" w:styleId="Subheadinglvl1WorkingChar" w:customStyle="1">
    <w:name w:val="Subheading lvl 1 (Working) Char"/>
    <w:basedOn w:val="DefaultParagraphFont"/>
    <w:link w:val="Subheadinglvl1Working"/>
    <w:rsid w:val="00db61da"/>
    <w:rPr>
      <w:rFonts w:ascii="Arial" w:hAnsi="Arial" w:cs="Arial"/>
      <w:sz w:val="22"/>
      <w:szCs w:val="22"/>
    </w:rPr>
  </w:style>
  <w:style w:type="character" w:styleId="IndexLink">
    <w:name w:val="Index Link"/>
    <w:qFormat/>
    <w:rPr/>
  </w:style>
  <w:style w:type="paragraph" w:styleId="Heading">
    <w:name w:val="Heading"/>
    <w:basedOn w:val="Normal"/>
    <w:next w:val="BodyText"/>
    <w:qFormat/>
    <w:pPr>
      <w:keepNext w:val="true"/>
      <w:spacing w:before="240" w:after="120"/>
    </w:pPr>
    <w:rPr>
      <w:rFonts w:ascii="DejaVu Sans" w:hAnsi="DejaVu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next w:val="Normal"/>
    <w:uiPriority w:val="35"/>
    <w:unhideWhenUsed/>
    <w:rsid w:val="004a2158"/>
    <w:pPr>
      <w:spacing w:before="0" w:after="200"/>
    </w:pPr>
    <w:rPr>
      <w:b/>
      <w:bCs/>
      <w:color w:themeColor="accent1" w:val="4F81BD"/>
      <w:sz w:val="18"/>
      <w:szCs w:val="18"/>
    </w:rPr>
  </w:style>
  <w:style w:type="paragraph" w:styleId="Index">
    <w:name w:val="Index"/>
    <w:basedOn w:val="Normal"/>
    <w:qFormat/>
    <w:pPr>
      <w:suppressLineNumbers/>
    </w:pPr>
    <w:rPr>
      <w:rFonts w:cs="DejaVu Sans"/>
    </w:rPr>
  </w:style>
  <w:style w:type="paragraph" w:styleId="ReviewersCADTH" w:customStyle="1">
    <w:name w:val="&quot;Reviewers&quot; (CADTH)"/>
    <w:basedOn w:val="Normal"/>
    <w:rsid w:val="00224ba0"/>
    <w:pPr>
      <w:spacing w:before="260" w:after="0"/>
      <w:outlineLvl w:val="1"/>
    </w:pPr>
    <w:rPr>
      <w:rFonts w:ascii="Arial" w:hAnsi="Arial" w:cs="Arial"/>
      <w:b/>
      <w:color w:val="0067B9"/>
    </w:rPr>
  </w:style>
  <w:style w:type="paragraph" w:styleId="CoverDetailsCADTH" w:customStyle="1">
    <w:name w:val="Cover Details (CADTH)"/>
    <w:basedOn w:val="Normal"/>
    <w:rsid w:val="00aa5247"/>
    <w:pPr>
      <w:widowControl w:val="false"/>
      <w:tabs>
        <w:tab w:val="clear" w:pos="720"/>
        <w:tab w:val="left" w:pos="2160" w:leader="none"/>
      </w:tabs>
      <w:spacing w:lineRule="auto" w:line="288"/>
      <w:textAlignment w:val="center"/>
    </w:pPr>
    <w:rPr>
      <w:rFonts w:ascii="Arial" w:hAnsi="Arial" w:cs="Arial"/>
      <w:color w:val="6D6E70"/>
      <w:lang w:val="en-US"/>
    </w:rPr>
  </w:style>
  <w:style w:type="paragraph" w:styleId="DisclaimerCopy" w:customStyle="1">
    <w:name w:val="Disclaimer Copy"/>
    <w:basedOn w:val="Normal"/>
    <w:rsid w:val="00aa5247"/>
    <w:pPr>
      <w:widowControl w:val="false"/>
      <w:suppressAutoHyphens w:val="true"/>
      <w:spacing w:lineRule="atLeast" w:line="240" w:before="20" w:after="100"/>
      <w:textAlignment w:val="center"/>
    </w:pPr>
    <w:rPr>
      <w:rFonts w:ascii="Arial" w:hAnsi="Arial" w:cs="Arial"/>
      <w:color w:val="000000"/>
      <w:sz w:val="18"/>
      <w:szCs w:val="18"/>
      <w:lang w:val="en-US"/>
    </w:rPr>
  </w:style>
  <w:style w:type="paragraph" w:styleId="ReferenceListCADTH" w:customStyle="1">
    <w:name w:val="Reference List (CADTH)"/>
    <w:qFormat/>
    <w:rsid w:val="002f741b"/>
    <w:pPr>
      <w:widowControl/>
      <w:numPr>
        <w:ilvl w:val="0"/>
        <w:numId w:val="2"/>
      </w:numPr>
      <w:suppressAutoHyphens w:val="true"/>
      <w:bidi w:val="0"/>
      <w:spacing w:before="0" w:after="120"/>
      <w:ind w:hanging="284" w:start="284"/>
      <w:jc w:val="start"/>
    </w:pPr>
    <w:rPr>
      <w:rFonts w:ascii="Arial" w:hAnsi="Arial" w:eastAsia="ＭＳ 明朝" w:cs="Arial"/>
      <w:color w:val="000000"/>
      <w:kern w:val="0"/>
      <w:sz w:val="18"/>
      <w:szCs w:val="14"/>
      <w:shd w:fill="FFFFFF" w:val="clear"/>
      <w:lang w:val="en-CA" w:eastAsia="en-US" w:bidi="ar-SA"/>
    </w:rPr>
  </w:style>
  <w:style w:type="paragraph" w:styleId="ReferencesHeadingCADTH" w:customStyle="1">
    <w:name w:val="References Heading (CADTH)"/>
    <w:basedOn w:val="Normal"/>
    <w:rsid w:val="003b645c"/>
    <w:pPr>
      <w:spacing w:before="100" w:after="120"/>
    </w:pPr>
    <w:rPr>
      <w:rFonts w:ascii="Arial" w:hAnsi="Arial" w:cs="Arial"/>
      <w:b/>
      <w:color w:val="0067B9"/>
    </w:rPr>
  </w:style>
  <w:style w:type="paragraph" w:styleId="TableBodyCopyCADTH" w:customStyle="1">
    <w:name w:val="Table Body Copy (CADTH)"/>
    <w:link w:val="TableBodyCopyCADTHChar"/>
    <w:qFormat/>
    <w:rsid w:val="00aa5247"/>
    <w:pPr>
      <w:widowControl/>
      <w:suppressAutoHyphens w:val="true"/>
      <w:bidi w:val="0"/>
      <w:spacing w:before="0" w:after="0"/>
      <w:jc w:val="start"/>
    </w:pPr>
    <w:rPr>
      <w:rFonts w:ascii="Arial" w:hAnsi="Arial" w:eastAsia="ＭＳ 明朝" w:cs="MinionPro-Regular"/>
      <w:color w:val="000000"/>
      <w:kern w:val="0"/>
      <w:sz w:val="18"/>
      <w:szCs w:val="18"/>
      <w:lang w:val="en-US" w:eastAsia="en-US" w:bidi="ar-SA"/>
    </w:rPr>
  </w:style>
  <w:style w:type="paragraph" w:styleId="TableFooterCADTH" w:customStyle="1">
    <w:name w:val="Table Footer (CADTH)"/>
    <w:basedOn w:val="Normal"/>
    <w:link w:val="TableFooterCADTHChar"/>
    <w:qFormat/>
    <w:rsid w:val="008a1dff"/>
    <w:pPr>
      <w:spacing w:lineRule="auto" w:line="276" w:before="60" w:after="60"/>
    </w:pPr>
    <w:rPr>
      <w:rFonts w:ascii="Arial" w:hAnsi="Arial" w:cs="Arial"/>
      <w:sz w:val="14"/>
      <w:szCs w:val="14"/>
      <w:shd w:fill="FFFFFF" w:val="clear"/>
      <w:lang w:val="en-US"/>
    </w:rPr>
  </w:style>
  <w:style w:type="paragraph" w:styleId="TableHeadingCADTH" w:customStyle="1">
    <w:name w:val="Table Heading (CADTH)"/>
    <w:qFormat/>
    <w:rsid w:val="002265ed"/>
    <w:pPr>
      <w:widowControl/>
      <w:suppressAutoHyphens w:val="true"/>
      <w:bidi w:val="0"/>
      <w:spacing w:before="0" w:after="0"/>
      <w:jc w:val="start"/>
    </w:pPr>
    <w:rPr>
      <w:rFonts w:ascii="Arial" w:hAnsi="Arial" w:eastAsia="ＭＳ 明朝" w:cs="MinionPro-Regular"/>
      <w:b/>
      <w:color w:themeColor="background1" w:val="FFFFFF"/>
      <w:kern w:val="0"/>
      <w:sz w:val="18"/>
      <w:szCs w:val="20"/>
      <w:lang w:val="en-US" w:eastAsia="en-US" w:bidi="ar-SA"/>
    </w:rPr>
  </w:style>
  <w:style w:type="paragraph" w:styleId="TableHeadingCenteredCADTH" w:customStyle="1">
    <w:name w:val="Table Heading Centered (CADTH)"/>
    <w:basedOn w:val="TableHeadingCADTH"/>
    <w:qFormat/>
    <w:rsid w:val="00aa5247"/>
    <w:pPr>
      <w:jc w:val="center"/>
    </w:pPr>
    <w:rPr/>
  </w:style>
  <w:style w:type="paragraph" w:styleId="TableSubheadingCADTH" w:customStyle="1">
    <w:name w:val="Table Subheading (CADTH)"/>
    <w:qFormat/>
    <w:rsid w:val="002265ed"/>
    <w:pPr>
      <w:widowControl/>
      <w:suppressAutoHyphens w:val="true"/>
      <w:bidi w:val="0"/>
      <w:spacing w:before="0" w:after="0"/>
      <w:jc w:val="center"/>
    </w:pPr>
    <w:rPr>
      <w:rFonts w:ascii="Arial" w:hAnsi="Arial" w:eastAsia="ＭＳ 明朝" w:cs="MinionPro-Regular"/>
      <w:b/>
      <w:color w:val="000000"/>
      <w:kern w:val="0"/>
      <w:sz w:val="18"/>
      <w:szCs w:val="20"/>
      <w:lang w:val="en-US" w:eastAsia="en-US" w:bidi="ar-SA"/>
    </w:rPr>
  </w:style>
  <w:style w:type="paragraph" w:styleId="TableTitleCADTH" w:customStyle="1">
    <w:name w:val="Table Title (CADTH)"/>
    <w:link w:val="TableTitleCADTHChar"/>
    <w:qFormat/>
    <w:rsid w:val="005006c5"/>
    <w:pPr>
      <w:keepNext w:val="true"/>
      <w:widowControl/>
      <w:suppressAutoHyphens w:val="true"/>
      <w:bidi w:val="0"/>
      <w:spacing w:before="240" w:after="120"/>
      <w:jc w:val="start"/>
    </w:pPr>
    <w:rPr>
      <w:rFonts w:ascii="Arial" w:hAnsi="Arial" w:eastAsia="ＭＳ 明朝" w:cs="MinionPro-Regular"/>
      <w:b/>
      <w:color w:val="0067B9"/>
      <w:kern w:val="0"/>
      <w:sz w:val="24"/>
      <w:szCs w:val="24"/>
      <w:lang w:val="en-US" w:eastAsia="en-US" w:bidi="ar-SA"/>
    </w:rPr>
  </w:style>
  <w:style w:type="paragraph" w:styleId="TitleofReportCADTH" w:customStyle="1">
    <w:name w:val="Title of Report (CADTH)"/>
    <w:qFormat/>
    <w:rsid w:val="00aa5247"/>
    <w:pPr>
      <w:widowControl/>
      <w:suppressAutoHyphens w:val="true"/>
      <w:bidi w:val="0"/>
      <w:spacing w:before="0" w:after="0"/>
      <w:ind w:start="227"/>
      <w:jc w:val="start"/>
    </w:pPr>
    <w:rPr>
      <w:rFonts w:ascii="Arial" w:hAnsi="Arial" w:eastAsia="ＭＳ 明朝" w:cs="Arial"/>
      <w:color w:val="0067B9"/>
      <w:kern w:val="0"/>
      <w:sz w:val="96"/>
      <w:szCs w:val="96"/>
      <w:lang w:val="en-CA" w:eastAsia="en-US" w:bidi="ar-SA"/>
    </w:rPr>
  </w:style>
  <w:style w:type="paragraph" w:styleId="TOC1">
    <w:name w:val="toc 1"/>
    <w:next w:val="Normal"/>
    <w:autoRedefine/>
    <w:uiPriority w:val="39"/>
    <w:unhideWhenUsed/>
    <w:rsid w:val="003e555d"/>
    <w:pPr>
      <w:widowControl/>
      <w:tabs>
        <w:tab w:val="clear" w:pos="720"/>
        <w:tab w:val="right" w:pos="10528" w:leader="dot"/>
      </w:tabs>
      <w:suppressAutoHyphens w:val="true"/>
      <w:bidi w:val="0"/>
      <w:spacing w:before="0" w:after="80"/>
      <w:jc w:val="start"/>
    </w:pPr>
    <w:rPr>
      <w:rFonts w:ascii="Arial" w:hAnsi="Arial" w:eastAsia="ＭＳ 明朝" w:cs="Arial"/>
      <w:color w:val="0067B9"/>
      <w:kern w:val="0"/>
      <w:sz w:val="28"/>
      <w:szCs w:val="24"/>
      <w:lang w:val="en-CA" w:eastAsia="en-US" w:bidi="ar-SA"/>
    </w:rPr>
  </w:style>
  <w:style w:type="paragraph" w:styleId="TypeofReportCover" w:customStyle="1">
    <w:name w:val="Type of Report (Cover)"/>
    <w:basedOn w:val="Normal"/>
    <w:qFormat/>
    <w:rsid w:val="003b645c"/>
    <w:pPr>
      <w:spacing w:before="2760" w:after="40"/>
      <w:ind w:start="227"/>
    </w:pPr>
    <w:rPr>
      <w:rFonts w:ascii="Arial" w:hAnsi="Arial" w:cs="Arial"/>
      <w:b/>
      <w:bCs/>
      <w:caps/>
      <w:color w:val="505150"/>
      <w:sz w:val="32"/>
      <w:szCs w:val="32"/>
    </w:rPr>
  </w:style>
  <w:style w:type="paragraph" w:styleId="Headinglvl1Working" w:customStyle="1">
    <w:name w:val="Heading lvl 1 (Working)"/>
    <w:basedOn w:val="Normal"/>
    <w:qFormat/>
    <w:rsid w:val="0065609c"/>
    <w:pPr>
      <w:spacing w:before="260" w:after="120"/>
      <w:outlineLvl w:val="1"/>
    </w:pPr>
    <w:rPr>
      <w:rFonts w:ascii="Arial" w:hAnsi="Arial" w:cs="Arial"/>
      <w:b/>
      <w:color w:val="0067B9"/>
    </w:rPr>
  </w:style>
  <w:style w:type="paragraph" w:styleId="Subheadinglvl1Working" w:customStyle="1">
    <w:name w:val="Subheading lvl 1 (Working)"/>
    <w:basedOn w:val="Normal"/>
    <w:link w:val="Subheadinglvl1WorkingChar"/>
    <w:qFormat/>
    <w:rsid w:val="00d90289"/>
    <w:pPr>
      <w:spacing w:before="180" w:after="120"/>
      <w:outlineLvl w:val="2"/>
    </w:pPr>
    <w:rPr>
      <w:rFonts w:ascii="Arial" w:hAnsi="Arial" w:cs="Arial"/>
      <w:sz w:val="22"/>
      <w:szCs w:val="22"/>
    </w:rPr>
  </w:style>
  <w:style w:type="paragraph" w:styleId="Subheadinglvl2Working" w:customStyle="1">
    <w:name w:val="Subheading lvl 2 (Working)"/>
    <w:basedOn w:val="Normal"/>
    <w:qFormat/>
    <w:rsid w:val="00d90289"/>
    <w:pPr>
      <w:spacing w:before="140" w:after="120"/>
    </w:pPr>
    <w:rPr>
      <w:rFonts w:ascii="Arial" w:hAnsi="Arial" w:cs="Arial"/>
      <w:i/>
      <w:sz w:val="20"/>
      <w:szCs w:val="20"/>
    </w:rPr>
  </w:style>
  <w:style w:type="paragraph" w:styleId="Subheadinglvl3Working" w:customStyle="1">
    <w:name w:val="Subheading lvl 3 (Working)"/>
    <w:basedOn w:val="Normal"/>
    <w:qFormat/>
    <w:rsid w:val="003b645c"/>
    <w:pPr>
      <w:spacing w:before="140" w:after="0"/>
    </w:pPr>
    <w:rPr>
      <w:rFonts w:ascii="Arial" w:hAnsi="Arial" w:cs="Arial"/>
      <w:b/>
      <w:sz w:val="18"/>
      <w:szCs w:val="18"/>
    </w:rPr>
  </w:style>
  <w:style w:type="paragraph" w:styleId="Bulletedlistlvl1Working" w:customStyle="1">
    <w:name w:val="Bulleted list lvl 1 (Working)"/>
    <w:basedOn w:val="Normal"/>
    <w:link w:val="Bulletedlistlvl1WorkingChar"/>
    <w:qFormat/>
    <w:rsid w:val="00d90289"/>
    <w:pPr>
      <w:numPr>
        <w:ilvl w:val="0"/>
        <w:numId w:val="3"/>
      </w:numPr>
      <w:spacing w:before="20" w:after="120"/>
    </w:pPr>
    <w:rPr>
      <w:rFonts w:ascii="Arial" w:hAnsi="Arial" w:cs="Arial"/>
      <w:sz w:val="18"/>
      <w:szCs w:val="18"/>
      <w:shd w:fill="FFFFFF" w:val="clear"/>
      <w:lang w:val="en-US"/>
    </w:rPr>
  </w:style>
  <w:style w:type="paragraph" w:styleId="BulletedListlvl2Working" w:customStyle="1">
    <w:name w:val="Bulleted List lvl 2 (Working)"/>
    <w:basedOn w:val="Normal"/>
    <w:qFormat/>
    <w:rsid w:val="008a1dff"/>
    <w:pPr>
      <w:numPr>
        <w:ilvl w:val="0"/>
        <w:numId w:val="4"/>
      </w:numPr>
      <w:spacing w:before="60" w:after="60"/>
    </w:pPr>
    <w:rPr>
      <w:rFonts w:ascii="Arial" w:hAnsi="Arial" w:cs="Arial"/>
      <w:sz w:val="18"/>
      <w:szCs w:val="18"/>
      <w:shd w:fill="FFFFFF" w:val="clear"/>
      <w:lang w:val="en-US"/>
    </w:rPr>
  </w:style>
  <w:style w:type="paragraph" w:styleId="NumberedListWorking" w:customStyle="1">
    <w:name w:val="Numbered List (Working)"/>
    <w:basedOn w:val="Normal"/>
    <w:qFormat/>
    <w:rsid w:val="003b645c"/>
    <w:pPr>
      <w:numPr>
        <w:ilvl w:val="0"/>
        <w:numId w:val="5"/>
      </w:numPr>
      <w:spacing w:before="20" w:after="120"/>
      <w:ind w:hanging="340" w:start="397"/>
    </w:pPr>
    <w:rPr>
      <w:rFonts w:ascii="Arial" w:hAnsi="Arial" w:cs="Arial"/>
      <w:sz w:val="18"/>
      <w:szCs w:val="18"/>
      <w:shd w:fill="FFFFFF" w:val="clear"/>
      <w:lang w:val="en-US"/>
    </w:rPr>
  </w:style>
  <w:style w:type="paragraph" w:styleId="HeaderandFooter">
    <w:name w:val="Header and Footer"/>
    <w:basedOn w:val="Normal"/>
    <w:qFormat/>
    <w:pPr/>
    <w:rPr/>
  </w:style>
  <w:style w:type="paragraph" w:styleId="Header">
    <w:name w:val="header"/>
    <w:basedOn w:val="Normal"/>
    <w:link w:val="HeaderChar"/>
    <w:uiPriority w:val="99"/>
    <w:unhideWhenUsed/>
    <w:rsid w:val="00e45a17"/>
    <w:pPr>
      <w:tabs>
        <w:tab w:val="clear" w:pos="720"/>
        <w:tab w:val="center" w:pos="4320" w:leader="none"/>
        <w:tab w:val="right" w:pos="8640" w:leader="none"/>
      </w:tabs>
    </w:pPr>
    <w:rPr/>
  </w:style>
  <w:style w:type="paragraph" w:styleId="Footer">
    <w:name w:val="footer"/>
    <w:basedOn w:val="Normal"/>
    <w:link w:val="FooterChar"/>
    <w:uiPriority w:val="99"/>
    <w:unhideWhenUsed/>
    <w:rsid w:val="00e45a17"/>
    <w:pPr>
      <w:tabs>
        <w:tab w:val="clear" w:pos="720"/>
        <w:tab w:val="center" w:pos="4320" w:leader="none"/>
        <w:tab w:val="right" w:pos="8640" w:leader="none"/>
      </w:tabs>
    </w:pPr>
    <w:rPr/>
  </w:style>
  <w:style w:type="paragraph" w:styleId="BodyCopyWorking" w:customStyle="1">
    <w:name w:val="Body Copy (Working)"/>
    <w:basedOn w:val="Normal"/>
    <w:link w:val="BodyCopyWorkingChar"/>
    <w:qFormat/>
    <w:rsid w:val="003b645c"/>
    <w:pPr>
      <w:spacing w:lineRule="auto" w:line="276" w:before="160" w:after="120"/>
    </w:pPr>
    <w:rPr>
      <w:rFonts w:ascii="Arial" w:hAnsi="Arial" w:cs="Arial"/>
      <w:sz w:val="18"/>
      <w:szCs w:val="18"/>
      <w:shd w:fill="FFFFFF" w:val="clear"/>
      <w:lang w:val="en-US"/>
    </w:rPr>
  </w:style>
  <w:style w:type="paragraph" w:styleId="CDRRECIntroBlock" w:customStyle="1">
    <w:name w:val="CDR REC Intro Block"/>
    <w:basedOn w:val="BodyCopyWorking"/>
    <w:autoRedefine/>
    <w:rsid w:val="00104971"/>
    <w:pPr>
      <w:spacing w:before="80" w:after="40"/>
      <w:ind w:start="227" w:end="2552"/>
    </w:pPr>
    <w:rPr>
      <w:b/>
      <w:color w:themeColor="background1" w:themeShade="80" w:val="808080"/>
      <w:sz w:val="32"/>
      <w:szCs w:val="32"/>
      <w:lang w:val="en-CA"/>
    </w:rPr>
  </w:style>
  <w:style w:type="paragraph" w:styleId="TableofContentsCADTH" w:customStyle="1">
    <w:name w:val="&quot;Table of Contents&quot; (CADTH)"/>
    <w:basedOn w:val="Normal"/>
    <w:rsid w:val="003b645c"/>
    <w:pPr>
      <w:spacing w:before="0" w:after="40"/>
    </w:pPr>
    <w:rPr>
      <w:rFonts w:ascii="Arial" w:hAnsi="Arial" w:cs="Arial"/>
      <w:b/>
      <w:color w:val="505150"/>
      <w:sz w:val="32"/>
      <w:szCs w:val="32"/>
      <w:shd w:fill="FFFFFF" w:val="clear"/>
    </w:rPr>
  </w:style>
  <w:style w:type="paragraph" w:styleId="Tabletext" w:customStyle="1">
    <w:name w:val="Table text"/>
    <w:basedOn w:val="Normal"/>
    <w:rsid w:val="00d542e4"/>
    <w:pPr>
      <w:jc w:val="center"/>
    </w:pPr>
    <w:rPr>
      <w:rFonts w:eastAsia="Cambria" w:cs="Cambria" w:cstheme="minorHAnsi" w:eastAsiaTheme="minorHAnsi"/>
      <w:bCs/>
      <w:sz w:val="18"/>
      <w:szCs w:val="18"/>
      <w:lang w:val="en-US" w:eastAsia="en-CA"/>
    </w:rPr>
  </w:style>
  <w:style w:type="paragraph" w:styleId="FootnoteText">
    <w:name w:val="footnote text"/>
    <w:basedOn w:val="Normal"/>
    <w:link w:val="FootnoteTextChar"/>
    <w:qFormat/>
    <w:rsid w:val="00e9397f"/>
    <w:pPr/>
    <w:rPr>
      <w:rFonts w:ascii="Arial" w:hAnsi="Arial" w:eastAsia="Cambria" w:cs="Times New Roman" w:eastAsiaTheme="minorHAnsi"/>
      <w:sz w:val="16"/>
      <w:szCs w:val="20"/>
      <w:lang w:val="en-US" w:eastAsia="en-CA"/>
    </w:rPr>
  </w:style>
  <w:style w:type="paragraph" w:styleId="CommentText">
    <w:name w:val="annotation text"/>
    <w:basedOn w:val="Normal"/>
    <w:link w:val="CommentTextChar"/>
    <w:uiPriority w:val="99"/>
    <w:unhideWhenUsed/>
    <w:pPr/>
    <w:rPr/>
  </w:style>
  <w:style w:type="paragraph" w:styleId="BalloonText">
    <w:name w:val="Balloon Text"/>
    <w:basedOn w:val="Normal"/>
    <w:link w:val="BalloonTextChar"/>
    <w:uiPriority w:val="99"/>
    <w:semiHidden/>
    <w:unhideWhenUsed/>
    <w:rsid w:val="003071ed"/>
    <w:pPr/>
    <w:rPr>
      <w:rFonts w:ascii="Lucida Grande" w:hAnsi="Lucida Grande" w:cs="Lucida Grande"/>
      <w:sz w:val="18"/>
      <w:szCs w:val="18"/>
    </w:rPr>
  </w:style>
  <w:style w:type="paragraph" w:styleId="SectionHeadingWorking" w:customStyle="1">
    <w:name w:val="Section Heading (Working)"/>
    <w:basedOn w:val="Normal"/>
    <w:qFormat/>
    <w:rsid w:val="00e13272"/>
    <w:pPr>
      <w:spacing w:before="0" w:after="120"/>
      <w:outlineLvl w:val="0"/>
    </w:pPr>
    <w:rPr>
      <w:rFonts w:ascii="Arial" w:hAnsi="Arial" w:cs="Arial"/>
      <w:b/>
      <w:color w:val="505150"/>
      <w:sz w:val="32"/>
      <w:szCs w:val="32"/>
    </w:rPr>
  </w:style>
  <w:style w:type="paragraph" w:styleId="TOC2">
    <w:name w:val="toc 2"/>
    <w:basedOn w:val="Normal"/>
    <w:next w:val="Normal"/>
    <w:autoRedefine/>
    <w:uiPriority w:val="39"/>
    <w:unhideWhenUsed/>
    <w:rsid w:val="002265ed"/>
    <w:pPr>
      <w:tabs>
        <w:tab w:val="clear" w:pos="720"/>
        <w:tab w:val="right" w:pos="10528" w:leader="dot"/>
      </w:tabs>
      <w:spacing w:before="0" w:after="80"/>
      <w:ind w:start="245"/>
    </w:pPr>
    <w:rPr>
      <w:rFonts w:ascii="Arial" w:hAnsi="Arial"/>
    </w:rPr>
  </w:style>
  <w:style w:type="paragraph" w:styleId="TableofFigures">
    <w:name w:val="table of figures"/>
    <w:basedOn w:val="Normal"/>
    <w:next w:val="Normal"/>
    <w:uiPriority w:val="99"/>
    <w:unhideWhenUsed/>
    <w:rsid w:val="002f741b"/>
    <w:pPr>
      <w:tabs>
        <w:tab w:val="clear" w:pos="720"/>
        <w:tab w:val="right" w:pos="10528" w:leader="dot"/>
      </w:tabs>
      <w:spacing w:before="0" w:after="40"/>
    </w:pPr>
    <w:rPr>
      <w:rFonts w:ascii="Arial" w:hAnsi="Arial"/>
      <w:bCs/>
      <w:sz w:val="20"/>
    </w:rPr>
  </w:style>
  <w:style w:type="paragraph" w:styleId="Quote">
    <w:name w:val="Quote"/>
    <w:basedOn w:val="Normal"/>
    <w:next w:val="Normal"/>
    <w:link w:val="QuoteChar"/>
    <w:uiPriority w:val="29"/>
    <w:rsid w:val="0018572f"/>
    <w:pPr/>
    <w:rPr>
      <w:i/>
      <w:iCs/>
      <w:color w:themeColor="text1" w:val="000000"/>
    </w:rPr>
  </w:style>
  <w:style w:type="paragraph" w:styleId="annotationsubject">
    <w:name w:val="annotation subject"/>
    <w:basedOn w:val="CommentText"/>
    <w:next w:val="CommentText"/>
    <w:link w:val="CommentSubjectChar"/>
    <w:uiPriority w:val="99"/>
    <w:semiHidden/>
    <w:unhideWhenUsed/>
    <w:rsid w:val="003b5577"/>
    <w:pPr/>
    <w:rPr>
      <w:b/>
      <w:bCs/>
      <w:sz w:val="20"/>
      <w:szCs w:val="20"/>
    </w:rPr>
  </w:style>
  <w:style w:type="paragraph" w:styleId="ListParagraph">
    <w:name w:val="List Paragraph"/>
    <w:basedOn w:val="Normal"/>
    <w:link w:val="ListParagraphChar"/>
    <w:uiPriority w:val="34"/>
    <w:rsid w:val="006d433d"/>
    <w:pPr>
      <w:spacing w:lineRule="auto" w:line="276" w:before="0" w:after="200"/>
      <w:ind w:start="720"/>
      <w:contextualSpacing/>
    </w:pPr>
    <w:rPr>
      <w:rFonts w:eastAsia="SimSun"/>
      <w:sz w:val="22"/>
      <w:szCs w:val="22"/>
    </w:rPr>
  </w:style>
  <w:style w:type="paragraph" w:styleId="Revision">
    <w:name w:val="Revision"/>
    <w:uiPriority w:val="99"/>
    <w:semiHidden/>
    <w:rsid w:val="008819d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Bulletslvl3Working" w:customStyle="1">
    <w:name w:val="Bullets lvl 3 (Working)"/>
    <w:basedOn w:val="Bulletedlistlvl1Working"/>
    <w:qFormat/>
    <w:rsid w:val="002265ed"/>
    <w:pPr>
      <w:numPr>
        <w:ilvl w:val="0"/>
        <w:numId w:val="6"/>
      </w:numPr>
      <w:ind w:hanging="144" w:start="864"/>
    </w:pPr>
    <w:rPr/>
  </w:style>
  <w:style w:type="paragraph" w:styleId="Bulletslvl4Working" w:customStyle="1">
    <w:name w:val="Bullets lvl 4 (Working)"/>
    <w:basedOn w:val="Bulletedlistlvl1Working"/>
    <w:qFormat/>
    <w:rsid w:val="002265ed"/>
    <w:pPr>
      <w:numPr>
        <w:ilvl w:val="0"/>
        <w:numId w:val="7"/>
      </w:numPr>
      <w:ind w:hanging="144" w:start="1152"/>
    </w:pPr>
    <w:rPr/>
  </w:style>
  <w:style w:type="paragraph" w:styleId="pCODR1BodyUnderBullet1stLevel" w:customStyle="1">
    <w:name w:val="pCODR 1 Body Under Bullet 1st Level"/>
    <w:basedOn w:val="Normal"/>
    <w:link w:val="pCODR1BodyUnderBullet1stLevelChar"/>
    <w:rsid w:val="006755d2"/>
    <w:pPr>
      <w:tabs>
        <w:tab w:val="clear" w:pos="720"/>
        <w:tab w:val="left" w:pos="360" w:leader="none"/>
        <w:tab w:val="left" w:pos="851" w:leader="none"/>
      </w:tabs>
      <w:ind w:start="720" w:end="-240"/>
    </w:pPr>
    <w:rPr>
      <w:rFonts w:ascii="Trebuchet MS" w:hAnsi="Trebuchet MS" w:eastAsia="Cambria" w:eastAsiaTheme="minorHAnsi"/>
      <w:sz w:val="21"/>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6e040e"/>
    <w:pPr>
      <w:keepLines/>
      <w:numPr>
        <w:ilvl w:val="0"/>
        <w:numId w:val="0"/>
      </w:numPr>
      <w:spacing w:before="240" w:after="0"/>
      <w:outlineLvl w:val="9"/>
    </w:pPr>
    <w:rPr>
      <w:rFonts w:ascii="Calibri" w:hAnsi="Calibri" w:eastAsia="" w:cs="" w:asciiTheme="majorHAnsi" w:cstheme="majorBidi" w:eastAsiaTheme="majorEastAsia" w:hAnsiTheme="majorHAnsi"/>
      <w:b w:val="false"/>
      <w:bCs w:val="false"/>
      <w:color w:themeColor="accent1" w:themeShade="bf" w:val="365F91"/>
      <w:kern w:val="0"/>
      <w:sz w:val="32"/>
      <w:lang w:eastAsia="en-US"/>
    </w:rPr>
  </w:style>
  <w:style w:type="paragraph" w:styleId="NoSpacing">
    <w:name w:val="No Spacing"/>
    <w:uiPriority w:val="1"/>
    <w:qFormat/>
    <w:rsid w:val="005602c6"/>
    <w:pPr>
      <w:widowControl/>
      <w:suppressAutoHyphens w:val="true"/>
      <w:bidi w:val="0"/>
      <w:spacing w:before="0" w:after="0"/>
      <w:jc w:val="start"/>
    </w:pPr>
    <w:rPr>
      <w:rFonts w:ascii="Calibri" w:hAnsi="Calibri" w:eastAsia="Calibri" w:cs="Times New Roman"/>
      <w:color w:val="auto"/>
      <w:kern w:val="0"/>
      <w:sz w:val="22"/>
      <w:szCs w:val="22"/>
      <w:lang w:val="en-CA" w:eastAsia="en-US" w:bidi="ar-SA"/>
    </w:rPr>
  </w:style>
  <w:style w:type="paragraph" w:styleId="InstructionsWorking" w:customStyle="1">
    <w:name w:val="Instructions (Working)"/>
    <w:basedOn w:val="Normal"/>
    <w:link w:val="InstructionsWorkingChar"/>
    <w:qFormat/>
    <w:rsid w:val="00e93ecc"/>
    <w:pPr>
      <w:numPr>
        <w:ilvl w:val="0"/>
        <w:numId w:val="8"/>
      </w:numPr>
      <w:spacing w:lineRule="auto" w:line="276" w:before="60" w:after="60"/>
    </w:pPr>
    <w:rPr>
      <w:rFonts w:ascii="Arial" w:hAnsi="Arial" w:cs="Arial"/>
      <w:color w:val="C00000"/>
      <w:sz w:val="18"/>
      <w:szCs w:val="18"/>
      <w:shd w:fill="FFFFFF" w:val="clear"/>
      <w:lang w:val="en-US"/>
    </w:rPr>
  </w:style>
  <w:style w:type="paragraph" w:styleId="Bulletslvl1Working" w:customStyle="1">
    <w:name w:val="Bullets lvl 1 (Working)"/>
    <w:basedOn w:val="InstructionsWorking"/>
    <w:link w:val="Bulletslvl1WorkingChar"/>
    <w:qFormat/>
    <w:rsid w:val="00e93ecc"/>
    <w:pPr>
      <w:numPr>
        <w:ilvl w:val="0"/>
        <w:numId w:val="9"/>
      </w:numPr>
    </w:pPr>
    <w:rPr/>
  </w:style>
  <w:style w:type="paragraph" w:styleId="paragraph" w:customStyle="1">
    <w:name w:val="paragraph"/>
    <w:basedOn w:val="Normal"/>
    <w:rsid w:val="00dc2d7a"/>
    <w:pPr>
      <w:spacing w:beforeAutospacing="1" w:afterAutospacing="1"/>
    </w:pPr>
    <w:rPr>
      <w:rFonts w:ascii="Times New Roman" w:hAnsi="Times New Roman" w:eastAsia="Times New Roman" w:cs="Times New Roman"/>
      <w:lang w:eastAsia="en-CA"/>
    </w:rPr>
  </w:style>
  <w:style w:type="paragraph" w:styleId="Default" w:customStyle="1">
    <w:name w:val="Default"/>
    <w:uiPriority w:val="99"/>
    <w:rsid w:val="00397320"/>
    <w:pPr>
      <w:widowControl/>
      <w:suppressAutoHyphens w:val="true"/>
      <w:bidi w:val="0"/>
      <w:spacing w:before="0" w:after="0"/>
      <w:jc w:val="start"/>
    </w:pPr>
    <w:rPr>
      <w:rFonts w:ascii="Times New Roman" w:hAnsi="Times New Roman" w:eastAsia="Cambria" w:cs="Times New Roman" w:eastAsiaTheme="minorHAnsi"/>
      <w:color w:val="000000"/>
      <w:kern w:val="0"/>
      <w:sz w:val="24"/>
      <w:szCs w:val="24"/>
      <w:lang w:val="en-CA" w:eastAsia="en-CA" w:bidi="ar-SA"/>
    </w:rPr>
  </w:style>
  <w:style w:type="paragraph" w:styleId="BodyCopyCADTH" w:customStyle="1">
    <w:name w:val="Body Copy (CADTH)"/>
    <w:qFormat/>
    <w:rsid w:val="0094400f"/>
    <w:pPr>
      <w:widowControl/>
      <w:suppressAutoHyphens w:val="true"/>
      <w:bidi w:val="0"/>
      <w:spacing w:lineRule="auto" w:line="276" w:before="160" w:after="120"/>
      <w:ind w:start="3260"/>
      <w:jc w:val="start"/>
    </w:pPr>
    <w:rPr>
      <w:rFonts w:ascii="Arial" w:hAnsi="Arial" w:eastAsia="ＭＳ 明朝" w:cs="Arial"/>
      <w:color w:val="000000"/>
      <w:kern w:val="0"/>
      <w:sz w:val="18"/>
      <w:szCs w:val="18"/>
      <w:shd w:fill="FFFFFF" w:val="clear"/>
      <w:lang w:val="en-US" w:eastAsia="en-US" w:bidi="ar-SA"/>
    </w:rPr>
  </w:style>
  <w:style w:type="paragraph" w:styleId="TableFooter" w:customStyle="1">
    <w:name w:val="Table Footer"/>
    <w:basedOn w:val="Normal"/>
    <w:link w:val="TableFooterChar"/>
    <w:qFormat/>
    <w:rsid w:val="0077451a"/>
    <w:pPr>
      <w:spacing w:lineRule="auto" w:line="276" w:before="60" w:after="60"/>
    </w:pPr>
    <w:rPr>
      <w:rFonts w:ascii="Arial" w:hAnsi="Arial" w:cs="Arial"/>
      <w:sz w:val="14"/>
      <w:szCs w:val="14"/>
      <w:shd w:fill="FFFFFF" w:val="clear"/>
      <w:lang w:val="en-US"/>
    </w:rPr>
  </w:style>
  <w:style w:type="paragraph" w:styleId="FigureTitle" w:customStyle="1">
    <w:name w:val="Figure Title"/>
    <w:basedOn w:val="TableTitleCADTH"/>
    <w:qFormat/>
    <w:rsid w:val="00db61da"/>
    <w:pPr>
      <w:keepNext w:val="false"/>
      <w:spacing w:before="120" w:after="120"/>
    </w:pPr>
    <w:rPr/>
  </w:style>
  <w:style w:type="paragraph" w:styleId="FrameContents">
    <w:name w:val="Frame Contents"/>
    <w:basedOn w:val="Normal"/>
    <w:qFormat/>
    <w:pPr/>
    <w:rPr/>
  </w:style>
  <w:style w:type="paragraph" w:styleId="TOC3">
    <w:name w:val="toc 3"/>
    <w:basedOn w:val="Index"/>
    <w:pPr/>
    <w:rPr/>
  </w:style>
  <w:style w:type="paragraph" w:styleId="TOC4">
    <w:name w:val="toc 4"/>
    <w:basedOn w:val="Index"/>
    <w:pPr/>
    <w:rPr/>
  </w:style>
  <w:style w:type="paragraph" w:styleId="TOC5">
    <w:name w:val="toc 5"/>
    <w:basedOn w:val="Index"/>
    <w:pPr/>
    <w:rPr/>
  </w:style>
  <w:style w:type="paragraph" w:styleId="TOC6">
    <w:name w:val="toc 6"/>
    <w:basedOn w:val="Index"/>
    <w:pPr/>
    <w:rPr/>
  </w:style>
  <w:style w:type="paragraph" w:styleId="TOC7">
    <w:name w:val="toc 7"/>
    <w:basedOn w:val="Index"/>
    <w:pPr/>
    <w:rPr/>
  </w:style>
  <w:style w:type="paragraph" w:styleId="TOC8">
    <w:name w:val="toc 8"/>
    <w:basedOn w:val="Index"/>
    <w:pPr/>
    <w:rPr/>
  </w:style>
  <w:style w:type="paragraph" w:styleId="TOC9">
    <w:name w:val="toc 9"/>
    <w:basedOn w:val="Index"/>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LightList-Accent1">
    <w:name w:val="Light List Accent 1"/>
    <w:basedOn w:val="TableNormal"/>
    <w:uiPriority w:val="61"/>
    <w:rsid w:val="005f61a4"/>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TableGrid">
    <w:name w:val="Table Grid"/>
    <w:basedOn w:val="TableNormal"/>
    <w:uiPriority w:val="59"/>
    <w:rsid w:val="004d4f6b"/>
    <w:rPr>
      <w:rFonts w:eastAsiaTheme="minorHAnsi"/>
      <w:lang w:eastAsia="en-C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Professional">
    <w:name w:val="Table Professional"/>
    <w:basedOn w:val="TableNormal"/>
    <w:rsid w:val="00d542e4"/>
    <w:pPr>
      <w:jc w:val="center"/>
    </w:pPr>
    <w:rPr>
      <w:rFonts w:eastAsiaTheme="minorHAnsi"/>
      <w:sz w:val="18"/>
      <w:szCs w:val="20"/>
      <w:lang w:eastAsia="en-C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customStyle="1" w:styleId="TableGrid1">
    <w:name w:val="Table Grid1"/>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da-amc.ca/contact-us" TargetMode="External"/><Relationship Id="rId3" Type="http://schemas.openxmlformats.org/officeDocument/2006/relationships/hyperlink" Target="https://www.cda-amc.ca/sites/default/files/Drug_Review_Process/Drug_Reimbursement_Review_Procedures.pdf" TargetMode="External"/><Relationship Id="rId4" Type="http://schemas.openxmlformats.org/officeDocument/2006/relationships/hyperlink" Target="https://www.cda-amc.ca/sites/default/files/Drug_Review_Process/Drug_Reimbursement_Review_Procedures.pdf" TargetMode="External"/><Relationship Id="rId5" Type="http://schemas.openxmlformats.org/officeDocument/2006/relationships/hyperlink" Target="https://www.cda-amc.ca/sites/default/files/RWE/MG0020/MG0020-RWE-Guidance-Report-Secured.pdf"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3.png"/><Relationship Id="rId13" Type="http://schemas.openxmlformats.org/officeDocument/2006/relationships/hyperlink" Target="https://www.cda-amc.ca/sites/default/files/Drug_Review_Process/Drug_Reimbursement_Review_Procedures.pdf" TargetMode="External"/><Relationship Id="rId14" Type="http://schemas.openxmlformats.org/officeDocument/2006/relationships/hyperlink" Target="https://eunethta.eu/wp-content/uploads/2020/01/EUnetHTA_Guideline_Information_Retrieval_v2-0.pdf" TargetMode="External"/><Relationship Id="rId15" Type="http://schemas.openxmlformats.org/officeDocument/2006/relationships/hyperlink" Target="https://training.cochrane.org/handbook/current/chapter-04" TargetMode="External"/><Relationship Id="rId16" Type="http://schemas.openxmlformats.org/officeDocument/2006/relationships/hyperlink" Target="https://searchfilters.cda-amc.ca/" TargetMode="External"/><Relationship Id="rId17" Type="http://schemas.openxmlformats.org/officeDocument/2006/relationships/hyperlink" Target="https://sites.google.com/a/york.ac.uk/issg-search-filters-resource/home" TargetMode="External"/><Relationship Id="rId18" Type="http://schemas.openxmlformats.org/officeDocument/2006/relationships/hyperlink" Target="https://www.cda-amc.ca/press-peer-review-electronic-search-strategies" TargetMode="External"/><Relationship Id="rId19" Type="http://schemas.openxmlformats.org/officeDocument/2006/relationships/hyperlink" Target="http://www.prisma-statement.org/Extensions/Searching" TargetMode="External"/><Relationship Id="rId20" Type="http://schemas.openxmlformats.org/officeDocument/2006/relationships/hyperlink" Target="https://www.cda-amc.ca/press-peer-review-electronic-search-strategies" TargetMode="External"/><Relationship Id="rId21" Type="http://schemas.openxmlformats.org/officeDocument/2006/relationships/hyperlink" Target="http://prisma-statement.org/prismastatement/flowdiagram.aspx" TargetMode="External"/><Relationship Id="rId22" Type="http://schemas.openxmlformats.org/officeDocument/2006/relationships/image" Target="media/image3.png"/><Relationship Id="rId23" Type="http://schemas.openxmlformats.org/officeDocument/2006/relationships/hyperlink" Target="http://www.cms.gov/apps/media/press/factsheet.asp?Counter=4221" TargetMode="External"/><Relationship Id="rId24" Type="http://schemas.openxmlformats.org/officeDocument/2006/relationships/header" Target="header4.xml"/><Relationship Id="rId25" Type="http://schemas.openxmlformats.org/officeDocument/2006/relationships/header" Target="header5.xml"/><Relationship Id="rId26" Type="http://schemas.openxmlformats.org/officeDocument/2006/relationships/header" Target="header6.xml"/><Relationship Id="rId27" Type="http://schemas.openxmlformats.org/officeDocument/2006/relationships/footer" Target="footer4.xml"/><Relationship Id="rId28" Type="http://schemas.openxmlformats.org/officeDocument/2006/relationships/footer" Target="footer5.xml"/><Relationship Id="rId29" Type="http://schemas.openxmlformats.org/officeDocument/2006/relationships/footer" Target="footer6.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Relationship Id="rId34" Type="http://schemas.openxmlformats.org/officeDocument/2006/relationships/customXml" Target="../customXml/item1.xml"/><Relationship Id="rId35" Type="http://schemas.openxmlformats.org/officeDocument/2006/relationships/customXml" Target="../customXml/item2.xml"/><Relationship Id="rId36" Type="http://schemas.openxmlformats.org/officeDocument/2006/relationships/customXml" Target="../customXml/item3.xml"/><Relationship Id="rId37" Type="http://schemas.openxmlformats.org/officeDocument/2006/relationships/customXml" Target="../customXml/item4.xml"/><Relationship Id="rId38" Type="http://schemas.openxmlformats.org/officeDocument/2006/relationships/customXml" Target="../customXml/item5.xml"/><Relationship Id="rId39" Type="http://schemas.openxmlformats.org/officeDocument/2006/relationships/customXml" Target="customXml/palmeraField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customXml/_rels/palmeraFields.xml.rels><?xml version='1.0' encoding='UTF-8' standalone='yes'?>
<Relationships xmlns="http://schemas.openxmlformats.org/package/2006/relationships"><Relationship Id="rId1" Type="http://schemas.openxmlformats.org/officeDocument/2006/relationships/customXmlProps" Target="palmeraFieldsProps.xml"/></Relationships>
</file>

<file path=word/customXml/palmeraFields.xml><?xml version="1.0" encoding="utf-8"?>
<palmeraFields xmlns="urn:palmera:fields">
  <field id="198338343">
    <guidance>Provide the non-proprietary name and brand name, strength, dosage form(s), and route of administration.</guidance>
  </field>
  <field id="538565650">
    <guidance>Enter the name of the sponsor submitting this application.</guidance>
  </field>
  <field id="767926277">
    <guidance>State the Health Canada indication from the product monograph. Abbreviate if necessary. For a pre-NOC submission, state “Proposed.”</guidance>
  </field>
  <field id="1109251318">
    <guidance>State the current Health Canada approval status: NOC, NOC/c, or under review (pre-NOC).</guidance>
  </field>
  <field id="1069967496">
    <guidance>State the Health Canada review pathway: standard, priority review, advance consideration under NOC/c, or other; specify if other.</guidance>
  </field>
  <field id="1427308873">
    <guidance>If an NOC has been received, provide the date as month, day, year. For a pre-NOC submission, provide the anticipated date.</guidance>
  </field>
  <field id="631054096">
    <guidance>Briefly describe the mechanism of action of the drug under review.</guidance>
  </field>
  <field id="1517267069">
    <guidance>Provide the recommended dose and dosage adjustments for notable subpopulations, following the product monograph.</guidance>
  </field>
  <field id="1971185590">
    <guidance>State whether this is an initial submission, resubmission, or reassessment.</guidance>
  </field>
  <field id="1224595166">
    <guidance>State the reimbursement request consistently throughout the application. If it is the same as the indication, state “As per indication.”</guidance>
    <guidanceRich format="application/vnd.openxmlformats-officedocument.wordprocessingml.document;base64">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i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WL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WL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WL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i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YtR9dAAAAAAAAAAAAAAAABQAAAHdvcmQvUEsDBAoAAAAIAFi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</guidanceRich>
  </field>
  <field id="1846282280">
    <guidance>Briefly state the rationale for filing the resubmission (i.e., how the new information addresses issues raised in the previous CDA-AMC review) or reassessment (i.e., how the new information supports the sponsor’s request for revised reimbursement criteria).
Delete this section if the application is for an initial submission to CDA-AMC or refiling a previously withdrawn submission.</guidance>
    <guidanceRich format="application/vnd.openxmlformats-officedocument.wordprocessingml.document;base64">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IK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gr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gr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gr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IK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CtR9dAAAAAAAAAAAAAAAABQAAAHdvcmQvUEsDBAoAAAAIAIK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</guidanceRich>
  </field>
  <field id="230650760">
    <guidance>Provide the recommended dosage regimen or regimens from the approved or draft product monograph.</guidance>
  </field>
  <field id="600835751">
    <guidance>State the mechanism of action of the drug under review. If the mechanism depends on a genotype, biomarker, or sex-specific target, state this explicitly and ensure the population implications are addressed under Diagnostic Testing Requirements, Eligibility Criteria, Subgroup Analyses, and Proposed Reimbursement Conditions.</guidance>
    <guidanceRich format="application/vnd.openxmlformats-officedocument.wordprocessingml.document;base64">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2hJF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faEk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faEk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faEk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2hJF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9oSRdAAAAAAAAAAAAAAAABQAAAHdvcmQvUEsDBAoAAAAIAH2hJF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</guidanceRich>
  </field>
  <field id="1321906422">
    <guidance>Please identify any confirmed or anticipated statements in the Canadian product monograph regarding restricting the prescribing and/or administration of the drug to certain health care professionals. If applicable, please provide details of any statements related to limiting the prescribing and/or administration of the drug to certain health care professionals.</guidance>
    <guidanceRich format="application/vnd.openxmlformats-officedocument.wordprocessingml.document;base64">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LY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ct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ct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ct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LY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y2H10AAAAAAAAAAAAAAAAFAAAAd29yZC9QSwMECgAAAAgAnLY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</guidanceRich>
  </field>
  <field id="1010375957">
    <guidance>Describe the disease, with references where applicable, including incidence and prevalence in Canada, signs and symptoms, natural history, staging, survival or mortality, and relevant prognostic factors. Highlight whether different population groups are impacted differently for either of these elements (incidence/prevalence, signs and symptoms, survival or mortality, relevant prognostic factors, pathophysiology, or other elements). Population subgroups can be defined across different individual and societal factors including: place of residence, racialized group/ethnicity/cultural/language, occupation, gender/sex, religion, education, socioeconomic status, social capital, age, etc. (see PROGRESS plus framework https://methods.cochrane.org/equity/projects/evidence-equity/progress-plus)   
Suggested length: ½ page</guidance>
    <guidanceRich format="application/vnd.openxmlformats-officedocument.wordprocessingml.document;base64">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GY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oZg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oZg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oZg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GY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hmCNdAAAAAAAAAAAAAAAABQAAAHdvcmQvUEsDBAoAAAAIAKGY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</guidanceRich>
  </field>
  <field id="1862541793">
    <guidance>Provide a breakdown of prevalence by participating province and territory. If the drug under review is expected to fall within the coverage mandate of the Non-Insured Health Benefits program of the First Nations and Inuit Health Branch, please provide a separate estimate for the prevalence in the First Nations and Inuit populations (if available). Please ensure these estimates align with the information in the pharmacoeconomic submission.</guidance>
    <guidanceRich format="application/vnd.openxmlformats-officedocument.wordprocessingml.document;base64">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nt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e2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e2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e2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nt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57YfXQAAAAAAAAAAAAAAAAUAAAB3b3JkL1BLAwQKAAAACADnt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</guidanceRich>
  </field>
  <field id="1961078454">
    <guidance>Enter the lower estimated prevalence for the Pan-Canadian population, excluding Quebec.</guidance>
  </field>
  <field id="547920550">
    <guidance>Enter the best estimated prevalence for the Pan-Canadian population, excluding Quebec.</guidance>
  </field>
  <field id="2020580078">
    <guidance>Enter the upper estimated prevalence for the Pan-Canadian population, excluding Quebec.</guidance>
  </field>
  <field id="862513230">
    <guidance>Enter the lower estimated prevalence for Alberta.</guidance>
  </field>
  <field id="399868640">
    <guidance>Enter the best estimated prevalence for Alberta.</guidance>
  </field>
  <field id="1049388599">
    <guidance>Enter the upper estimated prevalence for Alberta.</guidance>
  </field>
  <field id="743271500">
    <guidance>Enter the lower estimated prevalence for British Columbia.</guidance>
  </field>
  <field id="1387299603">
    <guidance>Enter the best estimated prevalence for British Columbia.</guidance>
  </field>
  <field id="802424613">
    <guidance>Enter the upper estimated prevalence for British Columbia.</guidance>
  </field>
  <field id="707348494">
    <guidance>Enter the lower estimated prevalence for Manitoba.</guidance>
  </field>
  <field id="1054949687">
    <guidance>Enter the best estimated prevalence for Manitoba.</guidance>
  </field>
  <field id="471519582">
    <guidance>Enter the upper estimated prevalence for Manitoba.</guidance>
  </field>
  <field id="843183767">
    <guidance>Enter the lower estimated prevalence for New Brunswick.</guidance>
  </field>
  <field id="1929617225">
    <guidance>Enter the best estimated prevalence for New Brunswick.</guidance>
  </field>
  <field id="1285642913">
    <guidance>Enter the upper estimated prevalence for New Brunswick.</guidance>
  </field>
  <field id="128992369">
    <guidance>Enter the lower estimated prevalence for Newfoundland and Labrador.</guidance>
  </field>
  <field id="379697995">
    <guidance>Enter the best estimated prevalence for Newfoundland and Labrador.</guidance>
  </field>
  <field id="1437339656">
    <guidance>Enter the upper estimated prevalence for Newfoundland and Labrador.</guidance>
  </field>
  <field id="889081692">
    <guidance>Enter the lower estimated prevalence for the Northwest Territories.</guidance>
  </field>
  <field id="1025526835">
    <guidance>Enter the best estimated prevalence for the Northwest Territories.</guidance>
  </field>
  <field id="1233515049">
    <guidance>Enter the upper estimated prevalence for the Northwest Territories.</guidance>
  </field>
  <field id="1926722373">
    <guidance>Enter the lower estimated prevalence for Nova Scotia.</guidance>
  </field>
  <field id="865436102">
    <guidance>Enter the best estimated prevalence for Nova Scotia.</guidance>
  </field>
  <field id="1028952913">
    <guidance>Enter the upper estimated prevalence for Nova Scotia.</guidance>
  </field>
  <field id="1164403495">
    <guidance>Enter the lower estimated prevalence for Nunavut.</guidance>
  </field>
  <field id="1818044526">
    <guidance>Enter the best estimated prevalence for Nunavut.</guidance>
  </field>
  <field id="1638920587">
    <guidance>Enter the upper estimated prevalence for Nunavut.</guidance>
  </field>
  <field id="523553245">
    <guidance>Enter the lower estimated prevalence for Ontario.</guidance>
  </field>
  <field id="1576426057">
    <guidance>Enter the best estimated prevalence for Ontario.</guidance>
  </field>
  <field id="857628237">
    <guidance>Enter the upper estimated prevalence for Ontario.</guidance>
  </field>
  <field id="1425175969">
    <guidance>Enter the lower estimated prevalence for Prince Edward Island.</guidance>
  </field>
  <field id="503914152">
    <guidance>Enter the best estimated prevalence for Prince Edward Island.</guidance>
  </field>
  <field id="244229309">
    <guidance>Enter the upper estimated prevalence for Prince Edward Island.</guidance>
  </field>
  <field id="50866461">
    <guidance>Enter the lower estimated prevalence for Saskatchewan.</guidance>
  </field>
  <field id="1870012319">
    <guidance>Enter the best estimated prevalence for Saskatchewan.</guidance>
  </field>
  <field id="1477188374">
    <guidance>Enter the upper estimated prevalence for Saskatchewan.</guidance>
  </field>
  <field id="1187982909">
    <guidance>Enter the lower estimated prevalence for Yukon.</guidance>
  </field>
  <field id="1237249317">
    <guidance>Enter the best estimated prevalence for Yukon.</guidance>
  </field>
  <field id="1079986308">
    <guidance>Enter the upper estimated prevalence for Yukon.</guidance>
  </field>
  <field id="106495390">
    <guidance>Enter the lower estimated prevalence for Non-Insured Health Benefits.</guidance>
  </field>
  <field id="1128413559">
    <guidance>Enter the best estimated prevalence for Non-Insured Health Benefits.</guidance>
  </field>
  <field id="1512039669">
    <guidance>Enter the upper estimated prevalence for Non-Insured Health Benefits.</guidance>
  </field>
  <field id="1333223319">
    <guidance>In this section, the sponsor is asked to provide a description of the diagnostic testing requirements for the indication under review. Please clearly describe the diagnostic tests that would be required or recommended to identify the patient population that could be eligible for treatment with the drug under review. This should include: 
•	name, analyte, and rationale for each diagnostic test
•	timing of the testing procedures relative to receiving the drug under review (e.g., would the test results only be valid for a finite period due to anticipated progression of the disease?)
•	setting for the diagnostic testing (i.e., hospitals or outpatient clinics)
•	for any invasive testing procedures, the anticipated time and setting for recovery from the procedures and any factors that could influence recovery time
•	the sponsor’s perspective on the appropriate health care professionals in Canada to confirm the diagnosis.
Please note if there are any confirmed or anticipated statements in the Canadian product monograph regarding specific diagnostic technology that is recommended for the drug under review.</guidance>
    <guidanceRich format="application/vnd.openxmlformats-officedocument.wordprocessingml.document;base64">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r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W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W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W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r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Fa4H10AAAAAAAAAAAAAAAAFAAAAd29yZC9QSwMECgAAAAgAVr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</guidanceRich>
  </field>
  <field id="804539857">
    <guidance>In this section, the sponsor is asked to provide a description of the availability of the diagnostic testing requirements for the indication under review. Please provide a brief overview of the following:
•	availability of the diagnostic testing requirements at the time the submission is filed and by the time the review of the submission has been completed (i.e., when a final recommendation has been issued)
•	any provinces or territories where there is likely to be limited access to the diagnostic testing requirements for the indication(s) of interest at the time this review is targeted to be completed
•	any initiatives being undertaken by the sponsor and/or others to increase the availability of the diagnostic test in Canada</guidance>
    <guidanceRich format="application/vnd.openxmlformats-officedocument.wordprocessingml.document;base64">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L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8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8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8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L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y4H10AAAAAAAAAAAAAAAAFAAAAd29yZC9QSwMECgAAAAgAvL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8uB9dAAAAAAAAAAAAAAAACwAAAHdvcmQvdGhlbWUvUEsDBAoAAAAAALy4H10AAAAAAAAAAAAAAAALAAAAd29yZC9fcmVscy9QSwECFAAKAAAACAC8uB9dk2/jAgYDAACMCQAAEQAAAAAAAAAAAAAAAAAAAAAAd29yZC9kb2N1bWVudC54bWxQSwECFAAKAAAACACMahxdgeC4LooBAACuAwAAEQAAAAAAAAAAAAAAAAA1AwAAd29yZC9zZXR0aW5ncy54bWxQSwECFAAKAAAACAC8uB9dAmQjCH4dAAD5OwEADwAAAAAAAAAAAAAAAADuBAAAd29yZC9zdHlsZXMueG1sUEsBAhQACgAAAAgAvLgfXWhQP9PuAgAA2QwAABUAAAAAAAAAAAAAAAAAmSIAAHdvcmQvdGhlbWUvdGhlbWUxLnhtbFBLAQIUAAoAAAAIALy4H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</guidanceRich>
  </field>
  <field id="1753192794">
    <guidance>Please describe the health care resources, including medications and hospitalization, required for patients to receive the drug under review.
•	Include the following information for any concomitant drugs required or recommended for patients receiving the drug under review:
•	non-proprietary name, dosage, route of administration, timing relative to the receiving the drug under review
•	rationale for the concomitant medications
•	Health Canada approval status for the concomitant drugs (i.e., approved or off-label usage for the indication of interest).
•	Describe the need for the drug to be administered by a physician or a clinical team and the setting of the treatment (e.g., physician office, outpatient clinic, inpatient hospital setting).</guidance>
    <guidanceRich format="application/vnd.openxmlformats-officedocument.wordprocessingml.document;base64">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zuR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O5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O5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O5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zuR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c7kfXQAAAAAAAAAAAAAAAAUAAAB3b3JkL1BLAwQKAAAACABzuR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</guidanceRich>
  </field>
  <field id="1769136716">
    <guidance>Provide an overview of the existing treatment algorithm used in Canada for the indication of interest. Describe current therapeutic approaches (including pharmacological and non-pharmacological interventions) in Canada for the condition of interest.
•	Cite clinical practice guidelines as appropriate.
•	Describe the treatment goals (such as prolonging life, delaying disease progression, improving symptoms, minimizing side effects, improving quality of life, increasing the patient’s ability to maintain employment, maintain independence, reducing burden on caregivers, etc.).
•	Identify all drug therapies that are currently available for the target population. If some drugs are not listed on public formularies, please describe how they can be accessed by the patient.</guidance>
    <guidanceRich format="application/vnd.openxmlformats-officedocument.wordprocessingml.document;base64">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mro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u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u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u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mro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q6H10AAAAAAAAAAAAAAAAFAAAAd29yZC9QSwMECgAAAAgAmro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</guidanceRich>
  </field>
  <field id="313885677">
    <guidance>Please describe the therapeutic needs that are not being met by currently available treatments. The following are common examples of unmet therapeutic needs:
•	not all patients respond to available treatments
•	patients become refractory to current treatment options
•	no treatments are available to halt progression or reverse the course of disease
•	no treatments are available to address the outcomes of greatest importance to patients
•	treatments are needed that are better tolerated
•	treatments are needed to improve adherence
•	formulations are needed to improve convenience for patients</guidance>
    <guidanceRich format="application/vnd.openxmlformats-officedocument.wordprocessingml.document;base64">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66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r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r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r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66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uuh9dAAAAAAAAAAAAAAAABQAAAHdvcmQvUEsDBAoAAAAIAK66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</guidanceRich>
  </field>
  <field id="703979793">
    <guidance>Summarize the proposed place in therapy for the drug under review and give a clear rationale, stating whether it relies on clinical studies, expert opinion, cost-effectiveness relative to alternative treatments, or other evidence. If drug sequencing varies by patient subpopulations, the sponsor should consider describing these differences for each population subgroup.</guidance>
    <guidanceRich format="application/vnd.openxmlformats-officedocument.wordprocessingml.document;base64">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Mu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y6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y6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y6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Mu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LofXQAAAAAAAAAAAAAAAAUAAAB3b3JkL1BLAwQKAAAACADMu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</guidanceRich>
  </field>
  <field id="678809355">
    <guidance>Please briefly describe the potential impact (if any) of the indication of interest on currently reimbursed treatments. Examples of impact include different position in sequence, replacement or elimination of treatment, change in reimbursement criteria, and so forth. If potential impact differs across population subgroups, please describe how for each population subgroup of interest. Please ensure that this section of the document contains references to all relevant documentation supporting the sponsor’s rationale for the place in therapy.</guidance>
    <guidanceRich format="application/vnd.openxmlformats-officedocument.wordprocessingml.document;base64">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e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17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17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17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e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Xuh9dAAAAAAAAAAAAAAAABQAAAHdvcmQvUEsDBAoAAAAIANe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</guidanceRich>
  </field>
  <field id="518136981">
    <guidance>Insert one or more figures showing the proposed place in therapy and any impact on currently reimbursed treatments. You may replace, resize, remove, or duplicate this picture placeholder as needed.
Figure Number: Sample figure showing impact of drug under review on treatment paradigm (see in Word)
</guidance>
    <guidanceRich format="application/vnd.openxmlformats-officedocument.wordprocessingml.document;base64">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</guidanceRich>
  </field>
  <field id="284852098">
    <guidance>Enter the non-proprietary name of the drug under review.</guidance>
  </field>
  <field id="1583495440">
    <guidance>State the indication under review for the drug under review.</guidance>
  </field>
  <field id="1189929439">
    <guidance>State the recommended dosage regimen for the drug under review.</guidance>
  </field>
  <field id="1472527722">
    <guidance>Enter the non-proprietary name of comparator 1.</guidance>
  </field>
  <field id="351979935">
    <guidance>State comparator 1's relevant Health Canada-approved indication. If it is used off-label, note that it is not approved for the indication under review.</guidance>
  </field>
  <field id="1248902499">
    <guidance>State comparator 1's recommended dosage regimen from the product monograph. If the indication is not Health Canada-approved, state the dosage regimen used in clinical practice and provide supporting references.</guidance>
  </field>
  <field id="2138645005">
    <guidance>If comparator 1 is not included in the indirect comparison, explain the rationale.</guidance>
  </field>
  <field id="1584295274">
    <guidance>If comparator 1 is not included in the pharmacoeconomic evaluation, explain the rationale.</guidance>
  </field>
  <field id="56679918">
    <guidance>Enter the non-proprietary name of comparator 2.</guidance>
  </field>
  <field id="1139272176">
    <guidance>State comparator 2's relevant Health Canada-approved indication. If it is used off-label, note that it is not approved for the indication under review.</guidance>
  </field>
  <field id="1671645521">
    <guidance>State comparator 2's recommended dosage regimen from the product monograph. If the indication is not Health Canada-approved, state the dosage regimen used in clinical practice and provide supporting references.</guidance>
  </field>
  <field id="1471605575">
    <guidance>If comparator 2 is not included in the indirect comparison, explain the rationale.</guidance>
  </field>
  <field id="1117325907">
    <guidance>If comparator 2 is not included in the pharmacoeconomic evaluation, explain the rationale.</guidance>
  </field>
  <field id="451938502">
    <guidance>Identify the data sources for the comparator information, including citations; use product monographs where applicable.</guidance>
  </field>
  <field id="115541822">
    <guidance>State an initiation condition for the drug under review, or state "The sponsor proposes that there be no initiation conditions."</guidance>
    <guidanceRich format="application/vnd.openxmlformats-officedocument.wordprocessingml.document;base64">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Ge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0Z4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0Z4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0Z4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Ge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RniNdAAAAAAAAAAAAAAAABQAAAHdvcmQvUEsDBAoAAAAIANGe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</guidanceRich>
  </field>
  <field id="1440032977">
    <guidance>Explain the rationale supporting this proposed initiation condition.</guidance>
  </field>
  <field id="1774983937">
    <guidance>If recommending alignment with existing criteria for other drugs: Eligibility for [drug] should be based on the criteria used by each of the public drug programs for reimbursement of [relevant drug(s)] for [brief indication].</guidance>
    <guidanceRich format="application/vnd.openxmlformats-officedocument.wordprocessingml.document;base64">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o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g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g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g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oJ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CeI10AAAAAAAAAAAAAAAAFAAAAd29yZC9QSwMECgAAAAgAo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</guidanceRich>
  </field>
  <field id="1288836516">
    <guidance>Explain the rationale for proposing this alignment-based initiation condition.</guidance>
  </field>
  <field id="198562177">
    <guidance>State a renewal condition for the drug under review, or state "the sponsor proposes that there be no renewal conditions."</guidance>
    <guidanceRich format="application/vnd.openxmlformats-officedocument.wordprocessingml.document;base64">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xZ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F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F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F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x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WeI10AAAAAAAAAAAAAAAAFAAAAd29yZC9QSwMECgAAAAgAxZ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</guidanceRich>
  </field>
  <field id="1469981911">
    <guidance>Explain the rationale supporting this proposed renewal condition.</guidance>
  </field>
  <field id="593079894">
    <guidance>If recommending alignment with existing criteria for other drugs: “[Drug] should be renewed in a similar manner to [relevant drug(s)] for [brief indication].” Use a similar condition for discontinuation if applicable.</guidance>
    <guidanceRich format="application/vnd.openxmlformats-officedocument.wordprocessingml.document;base64">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b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Ju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Ju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Ju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b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m6AjXQAAAAAAAAAAAAAAAAUAAAB3b3JkL1BLAwQKAAAACACb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</guidanceRich>
  </field>
  <field id="181289987">
    <guidance>Explain the rationale for proposing this alignment-based renewal condition.</guidance>
  </field>
  <field id="806644934">
    <guidance>State condition here or “The sponsor proposes that there be no discontinuation conditions”</guidance>
    <guidanceRich format="application/vnd.openxmlformats-officedocument.wordprocessingml.document;base64">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Wg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paA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paA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paA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Wg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loCNdAAAAAAAAAAAAAAAABQAAAHdvcmQvUEsDBAoAAAAIAKWg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</guidanceRich>
  </field>
  <field id="1088305840">
    <guidance>Explain the rationale supporting this proposed discontinuation condition.</guidance>
  </field>
  <field id="1138168675">
    <guidance>State condition here or “The sponsor proposes that there be no prescribing conditions”</guidance>
    <guidanceRich format="application/vnd.openxmlformats-officedocument.wordprocessingml.document;base64">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G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G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G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saAjXQAAAAAAAAAAAAAAAAUAAAB3b3JkL1BLAwQKAAAACAC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</guidanceRich>
  </field>
  <field id="1817405152">
    <guidance>Explain the rationale supporting this proposed prescribing condition.</guidance>
  </field>
  <field id="344607807">
    <guidance>State the systematic review objective, including the non-proprietary drug name and strength(s), the indication of interest, and the relevant comparators in Canadian clinical practice.
Example statement format:
To perform a systematic review of the beneficial and harmful effects of [state non-proprietary drug name] and strength(s) for [state the indication of interest] versus relevant comparators in clinical practice in Canada.</guidance>
    <guidanceRich format="application/vnd.openxmlformats-officedocument.wordprocessingml.document;base64">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q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O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O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O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q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6hI10AAAAAAAAAAAAAAAAFAAAAd29yZC9QSwMECgAAAAgATq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</guidanceRich>
  </field>
  <field id="390680609">
    <guidance>Enter the table number assigned to the inclusion criteria table.</guidance>
  </field>
  <field id="1880349076">
    <guidance>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2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a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a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a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2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tqIjXQAAAAAAAAAAAAAAAAUAAAB3b3JkL1BLAwQKAAAACAC2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</guidanceRich>
  </field>
  <field id="2015476795">
    <guidance>List all relevant subgroups to be considered in the systematic review.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guidance>
    <guidanceRich format="application/vnd.openxmlformats-officedocument.wordprocessingml.document;base64">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P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P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6IjXQAAAAAAAAAAAAAAAAUAAAB3b3JkL1BLAwQKAAAACADP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</guidanceRich>
  </field>
  <field id="732486507">
    <guidance>Specify the intervention drug, dose, and route of administration, as applicable.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CjI10AAAAAAAAAAAAAAAAFAAAAd29yZC9QSwMECgAAAAgAA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</guidanceRich>
  </field>
  <field id="724565510">
    <guidance>List all appropriate comparators for the systematic review.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C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UK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UK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UK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C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QoyNdAAAAAAAAAAAAAAAABQAAAHdvcmQvUEsDBAoAAAAIAFC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</guidanceRich>
  </field>
  <field id="701037126">
    <guidance>List the efficacy outcomes included in the systematic review.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g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g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ICjI10AAAAAAAAAAAAAAAAFAAAAd29yZC9QSwMECgAAAAgAg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</guidanceRich>
  </field>
  <field id="473002630">
    <guidance>List the harms outcomes, including adverse events, serious adverse events, withdrawals due to adverse events, mortality, and any adverse events of special interest.</guidance>
  </field>
  <field id="890642733">
    <guidance>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ya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J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J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J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ya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mjI10AAAAAAAAAAAAAAAAFAAAAd29yZC9QSwMECgAAAAgAya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</guidanceRich>
  </field>
  <field id="2028612821">
    <guidance>Enter the intervention concept used in the clinical literature search.</guidance>
  </field>
  <field id="1154094977">
    <guidance>Enter the indication or population concept used in the clinical literature search.</guidance>
  </field>
  <field id="364360071">
    <guidance>Enter the date on which the initial clinical literature search was completed.</guidance>
  </field>
  <field id="1775098485">
    <guidance>Enter the figure number assigned to the PRISMA flow diagram.</guidance>
  </field>
  <field id="1281811044">
    <guidance>Insert the PRISMA flow diagram showing the flow of records and studies through the systematic review. You may replace, resize, move, remove, or duplicate the picture as needed.</guidance>
  </field>
  <field id="1712953180">
    <guidance>Enter the table number assigned to the included-studies table.</guidance>
  </field>
  <field id="917274444">
    <guidance>Enter the name or identifier of the first included study.</guidance>
  </field>
  <field id="197412906">
    <guidance>Enter the name or identifier of the second included study.</guidance>
  </field>
  <field id="1930116000">
    <guidance>Describe the design of the first included study, including phase, blinding, comparator, and randomization as applicable.</guidance>
  </field>
  <field id="1565938690">
    <guidance>Describe the design of the second included study, including phase, blinding, comparator, and randomization as applicable.</guidance>
  </field>
  <field id="1676867584">
    <guidance>State the number of sites and the countries or regions where the first included study was conducted.</guidance>
  </field>
  <field id="908712584">
    <guidance>State the number of sites and the countries or regions where the second included study was conducted.</guidance>
  </field>
  <field id="1994652249">
    <guidance>Enter the enrolment start date for the first included study.</guidance>
  </field>
  <field id="933644844">
    <guidance>Enter the enrolment end date for the first included study.</guidance>
  </field>
  <field id="756660477">
    <guidance>Enter the enrolment start date for the second included study.</guidance>
  </field>
  <field id="1664939013">
    <guidance>Enter the enrolment end date for the second included study.</guidance>
  </field>
  <field id="1838953778">
    <guidance>Enter the total randomized enrolment for the first included study and the sample size in each treatment group.</guidance>
  </field>
  <field id="757931386">
    <guidance>Enter the total randomized enrolment for the second included study and the sample size in each treatment group.</guidance>
  </field>
  <field id="1875361923">
    <guidance>List the key inclusion criteria for the first included study.</guidance>
  </field>
  <field id="1464404542">
    <guidance>List the key inclusion criteria for the second included study.</guidance>
  </field>
  <field id="1338957035">
    <guidance>List the key exclusion criteria for the first included study.</guidance>
  </field>
  <field id="1008430582">
    <guidance>List the key exclusion criteria for the second included study.</guidance>
  </field>
  <field id="2066905324">
    <guidance>Describe the intervention drug, dosage, administration frequency and route, and treatment duration for the first included study.</guidance>
  </field>
  <field id="1616047389">
    <guidance>Describe the intervention drug, dosage, administration frequency and route, and treatment duration for the second included study.</guidance>
  </field>
  <field id="1885629606">
    <guidance>Describe each comparator drug, dosage, administration frequency and route, and treatment duration for the first included study.</guidance>
  </field>
  <field id="1684065809">
    <guidance>Describe each comparator drug, dosage, administration frequency and route, and treatment duration for the second included study.</guidance>
  </field>
  <field id="290423608">
    <guidance>Enter the screening-phase duration for the first included study.</guidance>
  </field>
  <field id="442195305">
    <guidance>Enter the screening-phase duration for the second included study.</guidance>
  </field>
  <field id="1567489723">
    <guidance>Enter the run-in-phase duration for the first included study, or remove this prompt if it is not applicable.</guidance>
  </field>
  <field id="547609463">
    <guidance>Enter the run-in-phase duration for the second included study, or remove this prompt if it is not applicable.</guidance>
  </field>
  <field id="1581181457">
    <guidance>Enter the treatment-phase duration for the first included study.</guidance>
  </field>
  <field id="1637983798">
    <guidance>Enter the treatment-phase duration for the second included study.</guidance>
  </field>
  <field id="1316176492">
    <guidance>Enter the follow-up duration for the first included study and state whether entry into a long-term extension was optional.</guidance>
  </field>
  <field id="155452583">
    <guidance>Enter the follow-up duration for the second included study and state whether entry into a long-term extension was optional.</guidance>
  </field>
  <field id="1244553497">
    <guidance>Enter the primary endpoint for the first included study, including its assessment timeframe.</guidance>
  </field>
  <field id="625389978">
    <guidance>Enter the primary endpoint for the second included study, including its assessment timeframe.</guidance>
  </field>
  <field id="826306291">
    <guidance>List the pre-specified secondary endpoints for the first included study, including each assessment timeframe.</guidance>
  </field>
  <field id="1215263892">
    <guidance>List the exploratory endpoints for the first included study, including each assessment timeframe.</guidance>
  </field>
  <field id="1730012574">
    <guidance>List the pre-specified secondary endpoints for the second included study, including each assessment timeframe.</guidance>
  </field>
  <field id="606880433">
    <guidance>List the exploratory endpoints for the second included study, including each assessment timeframe.</guidance>
  </field>
  <field id="1856749314">
    <guidance>Provide reference(s) to publications for the first included study.</guidance>
  </field>
  <field id="563167750">
    <guidance>Provide the ClinicalTrials.gov record reference for the first included study.</guidance>
  </field>
  <field id="815883534">
    <guidance>Provide reference(s) to publications for the second included study.</guidance>
  </field>
  <field id="386404186">
    <guidance>Provide the ClinicalTrials.gov record reference for the second included study.</guidance>
  </field>
  <field id="1994106587">
    <guidance>For each study the following information should be presented (in the same order for each study): the study objectives, a description of the design, patients, sample size (N), locations including number of sites in Canada, study treatments, randomization, whether randomization was stratified. 
Provide data cut-off dates.
Add a summary/simple figure if useful to explain/contrast study design where there are multiple trials with different run-ins, follow-up duration, different design features such as re-randomization, etc. 
Provide descriptions of the studies in text that point out key design features (e.g., adaptive design, enrichment design, withdrawal design, cross-over design) and key points related to those features (e.g., duration of washout period between treatment periods in a cross-over study).
For studies with a run-in/screening period, a description of its purpose should be included.</guidance>
  </field>
  <field id="1379685635">
    <guidance>Describe each of the outcome measures reported in the systematic review and provide information on minimal important differences (MID). Ensure that a reference list and copies of articles addressing the validity of outcome measures (including surrogate outcomes) are provided in the application.
Briefly describe the relevant efficacy outcomes for the included studies (i.e., all outcomes included in the protocol) in sufficient detail for the reader to be able to understand and interpret the outcome data (definitions and measurement).
Descriptions of scale measures should include a brief overview of the scale including:
Construct(s) or domain(s) measured; 
Structure of the scale (i.e., is there one single overall score or individual domain scores or both);
Range of scores; 
Direction of the scale (e.g., do higher scores indicate greater impairment? Better HRQoL?);
Whether or not an estimated MID was identified (for overall and individual domain scores). Please clearly state the source of the MID (e.g., reference to publication, regulatory opinion, clinical expert opinion) and the method used for estimation (e.g., anchor-based) and whether the MID refers to within-group or between group differences (or both). Identify the population in which the MID was estimated (e.g., patients with severe COPD; general population estimate). If multiple estimates of the MID are identified, the full range of MIDs should be reported. If no MID has been identified, this should be explicitly stated.
For surrogate outcomes, summarize the clinical evidence underlying or justifying the use of a surrogate as well as the evidence for the validation of the surrogate. 
Describe how outcomes are adjudicated (centrally adjudicated, or investigator adjudicated, or both).
Responder definitions, cut points and rationale for cut point selection should be described and referenced.
Define key harms outcomes.</guidance>
  </field>
  <field id="827021544">
    <guidance>Discuss only notable eligibility criteria: criteria important to the condition or a niche population, and important differences between studies. Do not repeat the full criteria table; keep this to one paragraph.</guidance>
  </field>
  <field id="680657803">
    <guidance>Briefly describe the interventions employed in the included trials, including dose, route of administration, frequency of administration, and duration of treatment. A description of the titration schedule should be included for both the intervention and comparator(s) where relevant. The criteria used for determining the titration schedule should be included (e.g., fixed schedule or titration to target). For non-oral medications or medications requiring a device for administration (e.g., insulin pen, auto-injector, inhalation device), details related to the device, training, and administration should be included, examples of which are provided below:
 For an injection, details may include whether the injection was self-administered or administered by study personnel at a study visit.
For an infusion, please include the infusion duration and indicate in what setting the infusion will be administered (i.e., hospital or infusion center).
If a device was used, please describe the training that was given initially and at each study visit. Please indicate if the device that was used is the same one that is or will be available in Canada.
If the trial is blinded, indicate the use of placebos, double-dummy controls, and provide a brief description of the placebo including any methods to match administration and avoid unblinding.
Include any criteria for rescue medication use where applicable, along with dosing schedules and maximum dosages permitted. Describe any stopping criteria for the intervention if relevant.</guidance>
  </field>
  <field id="31726976">
    <guidance>Enter the assigned number for the summary of outcomes table.</guidance>
  </field>
  <field id="1043302581">
    <guidance>Enter the first outcome measure included in the systematic review.</guidance>
  </field>
  <field id="1472210191">
    <guidance>Enter the assessment timepoint for the first outcome and state whether it is at or through that timepoint.</guidance>
  </field>
  <field id="1842122795">
    <guidance>Classify the first outcome for Study 1 as primary, key secondary, secondary, tertiary, exploratory, or not applicable; add an asterisk where multiplicity adjustment applies.</guidance>
  </field>
  <field id="1307588923">
    <guidance>Classify the first outcome for Study 2 as primary, key secondary, secondary, tertiary, exploratory, or not applicable; add an asterisk where multiplicity adjustment applies.</guidance>
  </field>
  <field id="266798436">
    <guidance>Enter the second outcome measure included in the systematic review.</guidance>
  </field>
  <field id="1438797414">
    <guidance>Enter the assessment timepoint for the second outcome, following the same format as outcome 1.</guidance>
  </field>
  <field id="504497766">
    <guidance>Classify the second outcome for Study 1 following the same categories and multiplicity notation as outcome 1.</guidance>
  </field>
  <field id="1872620584">
    <guidance>Classify the second outcome for Study 2 following the same categories and multiplicity notation as outcome 1.</guidance>
  </field>
  <field id="24624863">
    <guidance>Provide a brief description of the statistical analysis for each outcome reported in the systematic review. 
The rationale for selection of the statistical test or model (e.g., non-parametric or parametric testing, ANCOVA for continuous outcome, logistic regression or survival analysis for binary outcome) should be reported.
The covariates and/or baseline values that were included in the statistical models should be specified. It should be stated that the analysis was unadjusted if no covariates and/or baseline values were included in the analysis.
If a historical control was used, the source of the data and method for statistical comparison to the active treatment arm should be reported.
Data imputation and other missing data methods (e.g., LOCF, statistical models such as MMRM, non-responder imputation) and the associated assumptions should be reported.
How intercurrent events were handled. Intercurrent events are events of interest that occur after a treatment has been initiated that may impact the interpretation of the end point (e.g., the event modified the treatment effect, such as in the use of rescue medications or other concomitant treatments, or has implications for adherence to the treatment regimen, including premature treatment discontinuation).
The main sensitivity analyses, if any, and the rationale for the analysis (e.g., alternate analyses that use different imputation techniques) should be described.
Repetition within the description and the information provided in the summary table(s) should be avoided where possible. If methods for the secondary outcomes are similar to those for the primary outcome, simply state this and highlight any differences.
Items should be summarized in a table where appropriate (see example below).</guidance>
  </field>
  <field id="1343303465">
    <guidance>Enter the assigned number for the statistical analysis of efficacy endpoints table.</guidance>
  </field>
  <field id="1961702415">
    <guidance>Enter the first Study 1 efficacy endpoint summarized in this table.</guidance>
  </field>
  <field id="2143684928">
    <guidance>Enter the statistical model used for the first Study 1 endpoint.</guidance>
  </field>
  <field id="1331195698">
    <guidance>List the factors adjusted for in the first Study 1 endpoint model, such as baseline values or age.</guidance>
  </field>
  <field id="1125550508">
    <guidance>Describe how missing data were addressed for the first Study 1 endpoint.</guidance>
  </field>
  <field id="118805113">
    <guidance>List the sensitivity analyses performed for the first Study 1 endpoint.</guidance>
  </field>
  <field id="932791655">
    <guidance>Add additional Study 1 endpoint rows as required.</guidance>
  </field>
  <field id="724079627">
    <guidance>Enter the model for each additional Study 1 endpoint, following the row above.</guidance>
  </field>
  <field id="1063602554">
    <guidance>List the adjustment factors for each additional Study 1 endpoint, following the row above.</guidance>
  </field>
  <field id="1996243408">
    <guidance>Describe missing-data handling for each additional Study 1 endpoint, following the row above.</guidance>
  </field>
  <field id="1507612720">
    <guidance>List sensitivity analyses for each additional Study 1 endpoint, following the row above.</guidance>
  </field>
  <field id="1193492575">
    <guidance>Enter the Study 2 endpoints summarized in this table, adding rows as required.</guidance>
  </field>
  <field id="598107064">
    <guidance>Enter the statistical model for each Study 2 endpoint.</guidance>
  </field>
  <field id="1962817948">
    <guidance>List the adjustment factors for each Study 2 endpoint.</guidance>
  </field>
  <field id="839539422">
    <guidance>List the sensitivity analyses for each Study 2 endpoint.</guidance>
  </field>
  <field id="1518305444">
    <guidance>Report assumptions regarding expected differences in treatment effect and variation (e.g., SD), as well as the rationale for selecting the parameters used in the calculation. Other potentially relevant information (e.g., whether loss to follow-up was accounted for, if there were power calculations for secondary endpoints) should be reported as applicable.</guidance>
  </field>
  <field id="959984345">
    <guidance>State whether the analyses presented in the report are the final analyses or interim analyses. If there were interim analyses, please state how these were accounted for in the statistical testing plan. For complex statistical testing structures (e.g., multiple endpoints) please ensure that the alpha level used for the endpoints is clearly stated in this section (please use a table to summarize if appropriate).</guidance>
  </field>
  <field id="1484745767">
    <guidance>Report whether subgroup analyses were pre-specified, whether treatment-arm comparability was checked, and how multiplicity was handled.</guidance>
  </field>
  <field id="61317614">
    <guidance>Define each analysis population used in the systematic review and summarize its application in the table below.
Define analysis sets (e.g., FAS, PP, safety set) for each study included in the systematic review using a summary table.</guidance>
  </field>
  <field id="463215069">
    <guidance>Enter the assigned number for the analysis populations table.</guidance>
  </field>
  <field id="804780957">
    <guidance>Enter the name of the first Study 1 analysis population, such as the full analysis set.</guidance>
  </field>
  <field id="595102914">
    <guidance>Define the first Study 1 analysis population according to the study protocol.</guidance>
  </field>
  <field id="20935121">
    <guidance>State how the first Study 1 analysis population was used, such as for all efficacy analyses.</guidance>
  </field>
  <field id="1188062953">
    <guidance>Enter the name of the second Study 1 analysis population, such as the safety analysis set.</guidance>
  </field>
  <field id="157934274">
    <guidance>Define the second Study 1 analysis population according to the study protocol.</guidance>
  </field>
  <field id="2139934214">
    <guidance>State how the second Study 1 analysis population was used in the analyses.</guidance>
  </field>
  <field id="1011405707">
    <guidance>Add additional Study 1 analysis populations as required.</guidance>
  </field>
  <field id="946264035">
    <guidance>Define each additional Study 1 analysis population.</guidance>
  </field>
  <field id="888751945">
    <guidance>State how each additional Study 1 analysis population was used.</guidance>
  </field>
  <field id="1360195625">
    <guidance>Add the Study 2 analysis populations required for the review.</guidance>
  </field>
  <field id="1729002899">
    <guidance>Define each Study 2 analysis population.</guidance>
  </field>
  <field id="1469609859">
    <guidance>State how each Study 2 analysis population was used.</guidance>
  </field>
  <field id="1326250245">
    <guidance>Enter the number assigned to the summary of baseline characteristics table.</guidance>
  </field>
  <field id="102045275">
    <guidance>Enter the name of the first treatment arm in Study 1.</guidance>
  </field>
  <field id="1591733779">
    <guidance>Enter the name of the second treatment arm in Study 1.</guidance>
  </field>
  <field id="193741279">
    <guidance>Enter the name of the first treatment arm in Study 2.</guidance>
  </field>
  <field id="631428389">
    <guidance>Enter the name of the second treatment arm in Study 2.</guidance>
  </field>
  <field id="111637051">
    <guidance>Enter the baseline-analysis sample size for the first treatment arm in Study 2.</guidance>
  </field>
  <field id="1736481156">
    <guidance>Enter the baseline-analysis sample size for the second treatment arm in Study 1.</guidance>
  </field>
  <field id="1512625313">
    <guidance>Enter the baseline-analysis sample size for the first treatment arm in Study 1.</guidance>
  </field>
  <field id="2073310631">
    <guidance>Enter the first baseline characteristic.</guidance>
  </field>
  <field id="1380477065">
    <guidance>Enter the Study 1 treatment 2 result for the first baseline characteristic.</guidance>
  </field>
  <field id="1015840200">
    <guidance>Enter the Study 2 treatment 2 result for the first baseline characteristic.</guidance>
  </field>
  <field id="2081112730">
    <guidance>Enter the Study 1 treatment 1 result for the second baseline characteristic.</guidance>
  </field>
  <field id="95831809">
    <guidance>Enter the Study 2 treatment 1 result for the second baseline characteristic.</guidance>
  </field>
  <field id="1742127148">
    <guidance>Enter the third baseline characteristic.</guidance>
  </field>
  <field id="1975591537">
    <guidance>Enter the Study 1 treatment 2 result for the third baseline characteristic.</guidance>
  </field>
  <field id="285434924">
    <guidance>Enter the Study 2 treatment 2 result for the third baseline characteristic.</guidance>
  </field>
  <field id="1668943772">
    <guidance>Enter the Study 1 treatment 1 result for the first baseline characteristic.</guidance>
  </field>
  <field id="985240144">
    <guidance>Enter the Study 2 treatment 1 result for the first baseline characteristic.</guidance>
  </field>
  <field id="117772731">
    <guidance>Enter the second baseline characteristic.</guidance>
  </field>
  <field id="1407604333">
    <guidance>Enter the Study 1 treatment 2 result for the second baseline characteristic.</guidance>
  </field>
  <field id="438525311">
    <guidance>Enter the Study 2 treatment 2 result for the second baseline characteristic.</guidance>
  </field>
  <field id="1933230921">
    <guidance>Enter the Study 1 treatment 1 result for the third baseline characteristic.</guidance>
  </field>
  <field id="1312395020">
    <guidance>Enter the Study 2 treatment 1 result for the third baseline characteristic.</guidance>
  </field>
  <field id="1625834215">
    <guidance>Enter the baseline-analysis sample size for the second treatment arm in Study 2.</guidance>
  </field>
  <field id="640902854">
    <guidance>Enter the number assigned to the sample table for patient disposition.</guidance>
  </field>
  <field id="1045816823">
    <guidance>Enter the name of the first treatment arm in Study 2.</guidance>
  </field>
  <field id="557652873">
    <guidance>Enter the patient-disposition sample size for the first treatment arm in Study 2.</guidance>
  </field>
  <field id="1326951429">
    <guidance>Enter the name of the second treatment arm in Study 2.</guidance>
  </field>
  <field id="437025929">
    <guidance>Enter the patient-disposition sample size for the second treatment arm in Study 2.</guidance>
  </field>
  <field id="1878818334">
    <guidance>Enter the name of the second treatment arm in Study 1.</guidance>
  </field>
  <field id="1387968362">
    <guidance>Enter the patient-disposition sample size for the second treatment arm in Study 1.</guidance>
  </field>
  <field id="1339300399">
    <guidance>Enter the name of the first treatment arm in Study 1.</guidance>
  </field>
  <field id="415487437">
    <guidance>Enter the patient-disposition sample size for the first treatment arm in Study 1.</guidance>
  </field>
  <field id="1036332828">
    <guidance>Enter the number screened for the first treatment arm in Study 1.</guidance>
  </field>
  <field id="1774335731">
    <guidance>Enter the number screened for the second treatment arm in Study 1.</guidance>
  </field>
  <field id="145196444">
    <guidance>Enter the number screened for the first treatment arm in Study 2.</guidance>
  </field>
  <field id="1063422949">
    <guidance>Enter the number screened for the second treatment arm in Study 2.</guidance>
  </field>
  <field id="1554414865">
    <guidance>Enter the first screening-failure reason.</guidance>
  </field>
  <field id="1364844662">
    <guidance>Enter the number and percentage for screening-failure reason 1 in the first treatment arm in Study 1.</guidance>
  </field>
  <field id="48742338">
    <guidance>Enter the number and percentage for screening-failure reason 1 in the second treatment arm in Study 1.</guidance>
  </field>
  <field id="1193397786">
    <guidance>Enter the number and percentage for screening-failure reason 1 in the first treatment arm in Study 2.</guidance>
  </field>
  <field id="1891649972">
    <guidance>Enter the number and percentage for screening-failure reason 1 in the second treatment arm in Study 2.</guidance>
  </field>
  <field id="1088696735">
    <guidance>Enter the second screening-failure reason.</guidance>
  </field>
  <field id="2023407013">
    <guidance>Enter the number and percentage for screening-failure reason 2 in the first treatment arm in Study 1.</guidance>
  </field>
  <field id="242298680">
    <guidance>Enter the number and percentage for screening-failure reason 2 in the second treatment arm in Study 1.</guidance>
  </field>
  <field id="2140191009">
    <guidance>Enter the number and percentage for screening-failure reason 2 in the first treatment arm in Study 2.</guidance>
  </field>
  <field id="167273946">
    <guidance>Enter the number and percentage for screening-failure reason 2 in the second treatment arm in Study 2.</guidance>
  </field>
  <field id="662746415">
    <guidance>Enter the number and percentage randomized for the first treatment arm in Study 1.</guidance>
  </field>
  <field id="1590703523">
    <guidance>Enter the number and percentage randomized for the second treatment arm in Study 1.</guidance>
  </field>
  <field id="1175707022">
    <guidance>Enter the number and percentage randomized for the first treatment arm in Study 2.</guidance>
  </field>
  <field id="1147658140">
    <guidance>Enter the number and percentage randomized for the second treatment arm in Study 2.</guidance>
  </field>
  <field id="150041753">
    <guidance>Enter the number and percentage discontinued from study for the first treatment arm in Study 1.</guidance>
  </field>
  <field id="621799779">
    <guidance>Enter the number and percentage discontinued from study for the second treatment arm in Study 1.</guidance>
  </field>
  <field id="101536481">
    <guidance>Enter the number and percentage discontinued from study for the first treatment arm in Study 2.</guidance>
  </field>
  <field id="161622868">
    <guidance>Enter the number and percentage discontinued from study for the second treatment arm in Study 2.</guidance>
  </field>
  <field id="1330433526">
    <guidance>Enter the number and percentage who discontinued because of adverse events for the first treatment arm in Study 1.</guidance>
  </field>
  <field id="2137401816">
    <guidance>Enter the number and percentage who discontinued because of adverse events for the second treatment arm in Study 1.</guidance>
  </field>
  <field id="767735645">
    <guidance>Enter the number and percentage who discontinued because of adverse events for the first treatment arm in Study 2.</guidance>
  </field>
  <field id="432304059">
    <guidance>Enter the number and percentage who discontinued because of adverse events for the second treatment arm in Study 2.</guidance>
  </field>
  <field id="1451180892">
    <guidance>Enter the number and percentage who discontinued because they were lost to follow-up for the second treatment arm in Study 2.</guidance>
  </field>
  <field id="1922246875">
    <guidance>Enter the number and percentage who discontinued because they were lost to follow-up for the first treatment arm in Study 2.</guidance>
  </field>
  <field id="1191649653">
    <guidance>Enter the number and percentage who discontinued because they were lost to follow-up for the second treatment arm in Study 1.</guidance>
  </field>
  <field id="1101836181">
    <guidance>Enter the number and percentage who discontinued because they were lost to follow-up for the first treatment arm in Study 1.</guidance>
  </field>
  <field id="799002135">
    <guidance>Enter the FAS count for the first treatment arm in Study 1.</guidance>
  </field>
  <field id="1517486783">
    <guidance>Enter the FAS count for the second treatment arm in Study 1.</guidance>
  </field>
  <field id="920944957">
    <guidance>Enter the FAS count for the first treatment arm in Study 2.</guidance>
  </field>
  <field id="174187984">
    <guidance>Enter the FAS count for the second treatment arm in Study 2.</guidance>
  </field>
  <field id="1281354242">
    <guidance>Enter the PP count for the first treatment arm in Study 1.</guidance>
  </field>
  <field id="1230215137">
    <guidance>Enter the PP count for the second treatment arm in Study 1.</guidance>
  </field>
  <field id="1682091021">
    <guidance>Enter the PP count for the first treatment arm in Study 2.</guidance>
  </field>
  <field id="380481777">
    <guidance>Enter the PP count for the second treatment arm in Study 2.</guidance>
  </field>
  <field id="621664135">
    <guidance>Enter the safety-population count for the first treatment arm in Study 1.</guidance>
  </field>
  <field id="344799928">
    <guidance>Enter the safety-population count for the second treatment arm in Study 1.</guidance>
  </field>
  <field id="272364580">
    <guidance>Enter the safety-population count for the first treatment arm in Study 2.</guidance>
  </field>
  <field id="1044293921">
    <guidance>Enter the safety-population count for the second treatment arm in Study 2.</guidance>
  </field>
  <field id="379272513">
    <guidance>Describe exposure across the study treatment groups, including any discrepancies and relevant adherence information.</guidance>
  </field>
  <field id="1129376544">
    <guidance>Enter the number assigned to the sample table for patient exposure.</guidance>
  </field>
  <field id="999719648">
    <guidance>Enter the name of the first treatment arm in Study 1.</guidance>
  </field>
  <field id="1566511647">
    <guidance>Enter the sample size for the first treatment arm in Study 1.</guidance>
  </field>
  <field id="849608264">
    <guidance>Enter the name of the second treatment arm in Study 1.</guidance>
  </field>
  <field id="1311852991">
    <guidance>Enter the sample size for the second treatment arm in Study 1.</guidance>
  </field>
  <field id="323615679">
    <guidance>Enter the name of the first treatment arm in Study 2.</guidance>
  </field>
  <field id="1312152643">
    <guidance>Enter the sample size for the first treatment arm in Study 2.</guidance>
  </field>
  <field id="1720307850">
    <guidance>Enter the name of the second treatment arm in Study 2.</guidance>
  </field>
  <field id="1920971000">
    <guidance>Enter the sample size for the second treatment arm in Study 2.</guidance>
  </field>
  <field id="1622255754">
    <guidance>Enter the total patient-weeks or patient-years for the first treatment arm in Study 1.</guidance>
  </field>
  <field id="1676202065">
    <guidance>Enter the total patient-weeks or patient-years for the second treatment arm in Study 1.</guidance>
  </field>
  <field id="207093970">
    <guidance>Enter the total patient-weeks or patient-years for the first treatment arm in Study 2.</guidance>
  </field>
  <field id="1600177533">
    <guidance>Enter the total patient-weeks or patient-years for the second treatment arm in Study 2.</guidance>
  </field>
  <field id="586129066">
    <guidance>Enter the mean treatment duration and standard deviation for the first treatment arm in Study 1.</guidance>
  </field>
  <field id="604654121">
    <guidance>Enter the mean treatment duration and standard deviation for the second treatment arm in Study 1.</guidance>
  </field>
  <field id="748895973">
    <guidance>Enter the mean treatment duration and standard deviation for the first treatment arm in Study 2.</guidance>
  </field>
  <field id="782830980">
    <guidance>Enter the mean treatment duration and standard deviation for the second treatment arm in Study 2.</guidance>
  </field>
  <field id="1454924577">
    <guidance>Enter the median treatment duration and IQR or range for the first treatment arm in Study 1.</guidance>
  </field>
  <field id="2045592137">
    <guidance>Enter the median treatment duration and IQR or range for the second treatment arm in Study 1.</guidance>
  </field>
  <field id="1933422962">
    <guidance>Enter the median treatment duration and IQR or range for the first treatment arm in Study 2.</guidance>
  </field>
  <field id="73475143">
    <guidance>Enter the median treatment duration and IQR or range for the second treatment arm in Study 2.</guidance>
  </field>
  <field id="768009665">
    <guidance>Enter the adherence percentage for the first treatment arm in Study 1.</guidance>
  </field>
  <field id="302260809">
    <guidance>Enter the adherence percentage for the second treatment arm in Study 1.</guidance>
  </field>
  <field id="1662864798">
    <guidance>Enter the adherence percentage for the first treatment arm in Study 2.</guidance>
  </field>
  <field id="58236">
    <guidance>Enter the adherence percentage for the second treatment arm in Study 2.</guidance>
  </field>
  <field id="573479684">
    <guidance>Provide a table summarizing relevant concomitant medications used during the studies. In accompanying text, describe required or permitted concomitant medications or co-interventions and any dose reductions, treatment discontinuations, or applicable tapering schedules.</guidance>
  </field>
  <field id="2140760690">
    <guidance>Describe protocols for crossover between treatment groups and any additional therapies or interventions during treatment or follow-up. Where useful, add a table summarizing overall and specific subsequent treatments or interventions.</guidance>
  </field>
  <field id="2069259673">
    <guidance>Replace “Number” with the table number for the subsequent treatment table.</guidance>
  </field>
  <field id="1253870556">
    <guidance>Replace “Treatment 1” with the first treatment name for Study 1.</guidance>
  </field>
  <field id="125308987">
    <guidance>Enter the sample size for the first treatment arm in Study 1.</guidance>
  </field>
  <field id="1622306352">
    <guidance>Replace “Treatment 2” with the second treatment name for Study 1.</guidance>
  </field>
  <field id="975698258">
    <guidance>Enter the sample size for the second treatment arm in Study 1.</guidance>
  </field>
  <field id="1047274749">
    <guidance>Replace “Treatment 1” with the first treatment name for Study 2.</guidance>
  </field>
  <field id="114395385">
    <guidance>Enter the sample size for the first treatment arm in Study 2.</guidance>
  </field>
  <field id="1910570741">
    <guidance>Replace “Treatment 2” with the second treatment name for Study 2.</guidance>
  </field>
  <field id="61945163">
    <guidance>Enter the sample size for the second treatment arm in Study 2.</guidance>
  </field>
  <field id="1318575265">
    <guidance>Enter the number and percentage of participants who received subsequent therapy in the second treatment arm of Study 2.</guidance>
  </field>
  <field id="207945278">
    <guidance>Enter the number and percentage of participants who received subsequent therapy in the second treatment arm of Study 1.</guidance>
  </field>
  <field id="1797440090">
    <guidance>Enter the number and percentage of participants who received subsequent therapy in the first treatment arm of Study 2.</guidance>
  </field>
  <field id="793329436">
    <guidance>Enter the number and percentage of participants who received subsequent therapy in the first treatment arm of Study 1.</guidance>
  </field>
  <field id="1844656933">
    <guidance>Replace “State therapy” with the first subsequent therapy or intervention. Keep the n (%) unit label.</guidance>
  </field>
  <field id="1314528757">
    <guidance>Enter the number and percentage for the first listed subsequent therapy in the first treatment arm of Study 1.</guidance>
  </field>
  <field id="775834446">
    <guidance>Enter the number and percentage for the first listed subsequent therapy in the second treatment arm of Study 1.</guidance>
  </field>
  <field id="1763483474">
    <guidance>Enter the number and percentage for the first listed subsequent therapy in the first treatment arm of Study 2.</guidance>
  </field>
  <field id="380278867">
    <guidance>Enter the number and percentage for the first listed subsequent therapy in the second treatment arm of Study 2.</guidance>
  </field>
  <field id="2032544011">
    <guidance>Replace “State therapy” with the second subsequent therapy or intervention. Keep the n (%) unit label.</guidance>
  </field>
  <field id="1735372136">
    <guidance>Enter the number and percentage for the second listed subsequent therapy in the first treatment arm of Study 1.</guidance>
  </field>
  <field id="536485881">
    <guidance>Enter the number and percentage for the second listed subsequent therapy in the second treatment arm of Study 1.</guidance>
  </field>
  <field id="2122123324">
    <guidance>Enter the number and percentage for the second listed subsequent therapy in the first treatment arm of Study 2.</guidance>
  </field>
  <field id="183102924">
    <guidance>Enter the number and percentage for the second listed subsequent therapy in the second treatment arm of Study 2.</guidance>
  </field>
  <field id="2066680307">
    <guidance>Summarize the efficacy outcomes from the long-term extension study, aligned with the systematic review, reporting each outcome for every study in which it was measured and clearly stating when baseline was assessed. Use narrative, a native Writer table, or a figure as appropriate, and emphasize only the key results.</guidance>
  </field>
  <field id="442796501">
    <guidance>Create a separate subsection for each efficacy outcome and summarize that outcome for every study in which it was measured. Use any native Writer structure—paragraphs, tables, or figures—that best communicates the results.</guidance>
  </field>
  <field id="779540617">
    <guidance>Replace “Number” with the number assigned to the sample table for key efficacy outcomes.
Provide a table similar to the example below summarizing key efficacy outcomes for the studies. For any included figures, indicate the data source including citation (and corresponding figure number in the clinical study report where applicable).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at relevant time points for outcomes from time-to-event analyses. Absolute effects and their confidence intervals are essential for the review team’s appraisal of the clinical importance of the reported effects.</guidance>
  </field>
  <field id="970765608">
    <guidance>Replace “Treatment 1” with the first treatment name for Study 1.</guidance>
  </field>
  <field id="526295874">
    <guidance>Replace “N =” with the sample size for the first treatment arm of Study 1, retaining the “N =” label.</guidance>
  </field>
  <field id="311876416">
    <guidance>Replace “Treatment 2” with the second treatment name for Study 1.</guidance>
  </field>
  <field id="2111493099">
    <guidance>Replace “N =” with the sample size for the second treatment arm of Study 1, retaining the “N =” label.</guidance>
  </field>
  <field id="7054391">
    <guidance>Replace “Treatment 1” with the first treatment name for Study 2.</guidance>
  </field>
  <field id="1549905489">
    <guidance>Replace “N =” with the sample size for the first treatment arm of Study 2, retaining the “N =” label.</guidance>
  </field>
  <field id="1694630794">
    <guidance>Replace “Treatment 2” with the second treatment name for Study 2.</guidance>
  </field>
  <field id="1780355161">
    <guidance>Replace “N =” with the sample size for the second treatment arm of Study 2, retaining the “N =” label.</guidance>
  </field>
  <field id="816315485">
    <guidance>Replace “Outcome 1” with the name of the first efficacy outcome summarized in this table.</guidance>
  </field>
  <field id="239039042">
    <guidance>Enter the number of patients contributing to the Outcome 1 analysis for the first treatment arm of Study 1.</guidance>
  </field>
  <field id="1557017567">
    <guidance>Enter the number of patients contributing to the Outcome 1 analysis for the second treatment arm of Study 1.</guidance>
  </field>
  <field id="1352217550">
    <guidance>Enter the number of patients contributing to the Outcome 1 analysis for the first treatment arm of Study 2.</guidance>
  </field>
  <field id="324590986">
    <guidance>Enter the number of patients contributing to the Outcome 1 analysis for the second treatment arm of Study 2.</guidance>
  </field>
  <field id="17731659">
    <guidance>Enter the baseline mean and standard deviation for Outcome 1 in the first treatment arm of Study 1.</guidance>
  </field>
  <field id="667974963">
    <guidance>Enter the baseline mean and standard deviation for Outcome 1 in the second treatment arm of Study 1.</guidance>
  </field>
  <field id="1985777254">
    <guidance>Enter the baseline mean and standard deviation for Outcome 1 in the second treatment arm of Study 2.</guidance>
  </field>
  <field id="502404951">
    <guidance>Enter the baseline mean and standard deviation for Outcome 1 in the first treatment arm of Study 2.</guidance>
  </field>
  <field id="1130296438">
    <guidance>Enter the mean change from baseline for Outcome 1 in the first treatment arm of Study 1, with a 95% confidence interval where available or the standard error otherwise.</guidance>
  </field>
  <field id="120249606">
    <guidance>Enter the mean change from baseline for Outcome 1 in the second treatment arm of Study 1, with a 95% confidence interval where available or the standard error otherwise.</guidance>
  </field>
  <field id="1348377435">
    <guidance>Enter the mean change from baseline for Outcome 1 in the first treatment arm of Study 2, with a 95% confidence interval where available or the standard error otherwise.</guidance>
  </field>
  <field id="493487227">
    <guidance>Enter the mean change from baseline for Outcome 1 in the second treatment arm of Study 2, with a 95% confidence interval where available or the standard error otherwise.</guidance>
  </field>
  <field id="556859281">
    <guidance>Enter the treatment-group difference versus control for Outcome 1 for the first treatment arm of Study 1, including the 95% confidence interval.</guidance>
  </field>
  <field id="219765973">
    <guidance>Enter the treatment-group difference versus control for Outcome 1 for the second treatment arm of Study 1, including the 95% confidence interval.</guidance>
  </field>
  <field id="1454700321">
    <guidance>Enter the treatment-group difference versus control for Outcome 1 for the first treatment arm of Study 2, including the 95% confidence interval.</guidance>
  </field>
  <field id="678192564">
    <guidance>Enter the treatment-group difference versus control for Outcome 1 for the second treatment arm of Study 2, including the 95% confidence interval.</guidance>
  </field>
  <field id="36572933">
    <guidance>Enter the P value for Outcome 1 for the first treatment arm of Study 1.</guidance>
  </field>
  <field id="1404990713">
    <guidance>Enter the P value for Outcome 1 for the second treatment arm of Study 1.</guidance>
  </field>
  <field id="2078074349">
    <guidance>Enter the P value for Outcome 1 for the first treatment arm of Study 2.</guidance>
  </field>
  <field id="594386837">
    <guidance>Enter the P value for Outcome 1 for the second treatment arm of Study 2.</guidance>
  </field>
  <field id="1409617373">
    <guidance>Replace “Outcome 2” with the name of the second efficacy outcome summarized in this table.</guidance>
  </field>
  <field id="114770077">
    <guidance>Enter the number and percentage for Outcome 2 in the first treatment arm of Study 1.</guidance>
  </field>
  <field id="1041734719">
    <guidance>Enter the number and percentage for Outcome 2 in the second treatment arm of Study 1.</guidance>
  </field>
  <field id="744183689">
    <guidance>Enter the number and percentage for Outcome 2 in the first treatment arm of Study 2.</guidance>
  </field>
  <field id="1985036621">
    <guidance>Enter the number and percentage for Outcome 2 in the second treatment arm of Study 2.</guidance>
  </field>
  <field id="1324230232">
    <guidance>Enter the odds ratio or relative risk and 95% confidence interval for Outcome 2 in the first treatment arm of Study 1.</guidance>
  </field>
  <field id="998044773">
    <guidance>Enter the odds ratio or relative risk and 95% confidence interval for Outcome 2 in the second treatment arm of Study 1.</guidance>
  </field>
  <field id="247785519">
    <guidance>Enter the odds ratio or relative risk and 95% confidence interval for Outcome 2 in the first treatment arm of Study 2.</guidance>
  </field>
  <field id="842433737">
    <guidance>Enter the odds ratio or relative risk and 95% confidence interval for Outcome 2 in the second treatment arm of Study 2.</guidance>
  </field>
  <field id="325928357">
    <guidance>Enter the risk difference and 95% confidence interval for Outcome 2 in the first treatment arm of Study 1.</guidance>
  </field>
  <field id="647039107">
    <guidance>Enter the risk difference and 95% confidence interval for Outcome 2 in the second treatment arm of Study 1.</guidance>
  </field>
  <field id="1510114055">
    <guidance>Enter the risk difference and 95% confidence interval for Outcome 2 in the first treatment arm of Study 2.</guidance>
  </field>
  <field id="1583180966">
    <guidance>Enter the risk difference and 95% confidence interval for Outcome 2 in the second treatment arm of Study 2.</guidance>
  </field>
  <field id="1550051902">
    <guidance>Enter the P value for Outcome 2 in the first treatment arm of Study 1.</guidance>
  </field>
  <field id="1795863016">
    <guidance>Enter the P value for Outcome 2 in the second treatment arm of Study 1.</guidance>
  </field>
  <field id="240851443">
    <guidance>Enter the P value for Outcome 2 in the first treatment arm of Study 2.</guidance>
  </field>
  <field id="370790387">
    <guidance>Enter the P value for Outcome 2 in the second treatment arm of Study 2.</guidance>
  </field>
  <field id="1622066083">
    <guidance>Replace “Outcome 3” with the name of the third efficacy outcome summarized in this table.</guidance>
  </field>
  <field id="1880703258">
    <guidance>Enter the number and percentage of events for Outcome 3 in the first treatment arm of Study 1.</guidance>
  </field>
  <field id="2090084810">
    <guidance>Enter the number and percentage of events for Outcome 3 in the second treatment arm of Study 1.</guidance>
  </field>
  <field id="1309615090">
    <guidance>Enter the number and percentage of events for Outcome 3 in the first treatment arm of Study 2.</guidance>
  </field>
  <field id="2052284880">
    <guidance>Enter the number and percentage of events for Outcome 3 in the second treatment arm of Study 2.</guidance>
  </field>
  <field id="47096707">
    <guidance>Enter the number and percentage censored for Outcome 3 in the first treatment arm of Study 1.</guidance>
  </field>
  <field id="92132039">
    <guidance>Enter the number and percentage censored for Outcome 3 in the second treatment arm of Study 1.</guidance>
  </field>
  <field id="315332718">
    <guidance>Enter the number and percentage censored for Outcome 3 in the first treatment arm of Study 2.</guidance>
  </field>
  <field id="2095235444">
    <guidance>Enter the number and percentage censored for Outcome 3 in the second treatment arm of Study 2.</guidance>
  </field>
  <field id="680809139">
    <guidance>Enter the number and percentage for censoring reason 1 in the first treatment arm of Study 1. Add table rows if more censoring reasons are needed.</guidance>
  </field>
  <field id="1557881836">
    <guidance>Enter the number and percentage for censoring reason 1 in the second treatment arm of Study 1. Add table rows if more censoring reasons are needed.</guidance>
  </field>
  <field id="558742884">
    <guidance>Enter the number and percentage for censoring reason 1 in the first treatment arm of Study 2. Add table rows if more censoring reasons are needed.</guidance>
  </field>
  <field id="2141751981">
    <guidance>Enter the number and percentage for censoring reason 1 in the second treatment arm of Study 2. Add table rows if more censoring reasons are needed.</guidance>
  </field>
  <field id="169209948">
    <guidance>Enter the median overall survival in months and 95% confidence interval for Outcome 3 in the first treatment arm of Study 1.</guidance>
  </field>
  <field id="1368586605">
    <guidance>Enter the median overall survival in months and 95% confidence interval for Outcome 3 in the second treatment arm of Study 1.</guidance>
  </field>
  <field id="2045086494">
    <guidance>Enter the median overall survival in months and 95% confidence interval for Outcome 3 in the first treatment arm of Study 2.</guidance>
  </field>
  <field id="1494493718">
    <guidance>Enter the median overall survival in months and 95% confidence interval for Outcome 3 in the second treatment arm of Study 2.</guidance>
  </field>
  <field id="944524229">
    <guidance>Enter the hazard ratio and 95% confidence interval for Outcome 3 in the first treatment arm of Study 1.</guidance>
  </field>
  <field id="1620591155">
    <guidance>Enter the hazard ratio and 95% confidence interval for Outcome 3 in the second treatment arm of Study 1.</guidance>
  </field>
  <field id="1811673221">
    <guidance>Enter the hazard ratio and 95% confidence interval for Outcome 3 in the first treatment arm of Study 2.</guidance>
  </field>
  <field id="705423006">
    <guidance>Enter the hazard ratio and 95% confidence interval for Outcome 3 in the second treatment arm of Study 2.</guidance>
  </field>
  <field id="1233171528">
    <guidance>Enter the P value for Outcome 3 in the first treatment arm of Study 1.</guidance>
  </field>
  <field id="1191145088">
    <guidance>Enter the P value for Outcome 3 in the second treatment arm of Study 1.</guidance>
  </field>
  <field id="611795967">
    <guidance>Enter the P value for Outcome 3 in the first treatment arm of Study 2.</guidance>
  </field>
  <field id="1282041341">
    <guidance>Enter the P value for Outcome 3 in the second treatment arm of Study 2.</guidance>
  </field>
  <field id="1632463656">
    <guidance>Replace “X” with the month at which survival probability is reported for Outcome 3.</guidance>
  </field>
  <field id="1926740996">
    <guidance>Enter the survival probability percentage and 95% confidence interval at the reported month for Outcome 3 in the first treatment arm of Study 1.</guidance>
  </field>
  <field id="1393534921">
    <guidance>Enter the survival probability percentage and 95% confidence interval at the reported month for Outcome 3 in the second treatment arm of Study 1.</guidance>
  </field>
  <field id="187416815">
    <guidance>Enter the survival probability percentage and 95% confidence interval at the reported month for Outcome 3 in the first treatment arm of Study 2.</guidance>
  </field>
  <field id="1760325047">
    <guidance>Enter the survival probability percentage and 95% confidence interval at the reported month for Outcome 3 in the second treatment arm of Study 2.</guidance>
  </field>
  <field id="2072005852">
    <guidance>Enter the difference in survival probability percentage and 95% confidence interval for Outcome 3 in the first treatment arm of Study 1.</guidance>
  </field>
  <field id="1359029344">
    <guidance>Enter the difference in survival probability percentage and 95% confidence interval for Outcome 3 in the second treatment arm of Study 1.</guidance>
  </field>
  <field id="1931069503">
    <guidance>Enter the difference in survival probability percentage and 95% confidence interval for Outcome 3 in the first treatment arm of Study 2.</guidance>
  </field>
  <field id="1602259726">
    <guidance>Enter the difference in survival probability percentage and 95% confidence interval for Outcome 3 in the second treatment arm of Study 2.</guidance>
  </field>
  <field id="1461528535">
    <guidance>Replace “Outcome 4” with the name of the fourth efficacy outcome summarized in this table.</guidance>
  </field>
  <field id="1961759050">
    <guidance>Enter the Outcome 4 result for the first treatment arm of Study 1, following the format above. Add or reshape table rows as needed to report this outcome.</guidance>
  </field>
  <field id="1310400713">
    <guidance>Enter the Outcome 4 result for the second treatment arm of Study 1, following the format above. Add or reshape table rows as needed to report this outcome.</guidance>
  </field>
  <field id="1318587757">
    <guidance>Enter the Outcome 4 result for the first treatment arm of Study 2, following the format above. Add or reshape table rows as needed to report this outcome.</guidance>
  </field>
  <field id="531843204">
    <guidance>Enter the Outcome 4 result for the second treatment arm of Study 2, following the format above. Add or reshape table rows as needed to report this outcome.</guidance>
  </field>
  <field id="2059624488">
    <guidance>Replace “Efficacy outcome 1” with the name of the first efficacy outcome discussed below.</guidance>
  </field>
  <field id="852036331">
    <guidance>Summarize the main messages from the efficacy outcome 1 data shown in the tables or graphs. Keep the discussion concise and clear and follow the agency instructions that remain below.
Please avoid the following when presenting results:
Interpreting the difference between two groups as being statistically significant based upon nonoverlapping confidence intervals for the individual within groups change (rather than a statistical test of the difference between groups);
Interpreting the clinical relevance of statistically nonsignificant findings; 
Focusing on the clinical relevance of within groups changes rather than the clinical relevance of the difference in the between groups change when there is a comparison group or historical control.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for outcomes from time-to-event analyses. Absolute effects are essential for the review team’s appraisal of the clinical importance of the reported effects.
Report the results from key sensitivity analyses and subgroup analyses under each of the outcomes. Subgroup analyses should reflect those that are specified within the systematic review protocol.
If data within the report are derived from different cut-off dates, please ensure that the dates are clearly specified when reporting the results.</guidance>
  </field>
  <field id="824347249">
    <guidance>Replace “Efficacy endpoint 2” with the name of the second efficacy endpoint discussed below.</guidance>
  </field>
  <field id="1204620523">
    <guidance>Replace “Efficacy endpoint 3” with the name of the third efficacy endpoint discussed below.</guidance>
  </field>
  <field id="1901184427">
    <guidance>Replace this heading with the name of the efficacy endpoint you are reporting for the long-term extension study. Use a separate subheading for each endpoint, and add more subheadings if you report more than three.</guidance>
  </field>
  <field id="1736256802">
    <guidance>Replace this heading with the name of the second efficacy endpoint you are reporting for the long-term extension study. Use a separate subheading for each endpoint.</guidance>
  </field>
  <field id="448560176">
    <guidance>Replace this heading with the name of the third efficacy endpoint you are reporting for the long-term extension study. Add further subheadings below if you report more endpoints.</guidance>
  </field>
  <field id="2127029719">
    <guidance>Enter the number assigned to this harms table in your submission, so the title reads for example Table 12: Summary of Harms.</guidance>
  </field>
  <field id="1635364622">
    <guidance>Replace “Treatment 1” with the first treatment name for Study 1.</guidance>
  </field>
  <field id="1095307890">
    <guidance>Enter the sample size for the first treatment arm in Study 1.</guidance>
  </field>
  <field id="123010935">
    <guidance>Replace “Treatment 2” with the second treatment name for Study 1.</guidance>
  </field>
  <field id="636529619">
    <guidance>Enter the sample size for the second treatment arm in Study 1.</guidance>
  </field>
  <field id="170657821">
    <guidance>Replace “Treatment 1” with the first treatment name for Study 2.</guidance>
  </field>
  <field id="1759837169">
    <guidance>Enter the sample size for the first treatment arm in Study 2.</guidance>
  </field>
  <field id="199072809">
    <guidance>Replace “Treatment 2” with the second treatment name for Study 2.</guidance>
  </field>
  <field id="1768588778">
    <guidance>Enter the sample size for the second treatment arm in Study 2.</guidance>
  </field>
  <field id="26345956">
    <guidance>Enter the number and percentage of participants who received subsequent therapy in the first treatment arm of Study 1.</guidance>
  </field>
  <field id="255594123">
    <guidance>Enter the number and percentage of participants who received subsequent therapy in the second treatment arm of Study 1.</guidance>
  </field>
  <field id="1512323840">
    <guidance>Enter the number and percentage of participants who received subsequent therapy in the first treatment arm of Study 2.</guidance>
  </field>
  <field id="1305467402">
    <guidance>Enter the number and percentage of participants who received subsequent therapy in the second treatment arm of Study 2.</guidance>
  </field>
  <field id="34538665">
    <guidance>Replace “State therapy” with the first subsequent therapy or intervention. Keep the n (%) unit label.</guidance>
  </field>
  <field id="1588575875">
    <guidance>Enter the number and percentage for the first listed subsequent therapy in the first treatment arm of Study 1.</guidance>
  </field>
  <field id="1693405315">
    <guidance>Enter the number and percentage for the first listed subsequent therapy in the second treatment arm of Study 1.</guidance>
  </field>
  <field id="150693318">
    <guidance>Enter the number and percentage for the first listed subsequent therapy in the second treatment arm of Study 2.</guidance>
  </field>
  <field id="262182681">
    <guidance>Replace “State therapy” with the second subsequent therapy or intervention. Keep the n (%) unit label.</guidance>
  </field>
  <field id="1933197586">
    <guidance>Enter the number and percentage for the second listed subsequent therapy in the first treatment arm of Study 1.</guidance>
  </field>
  <field id="56641577">
    <guidance>Enter the number and percentage for the second listed subsequent therapy in the second treatment arm of Study 1.</guidance>
  </field>
  <field id="44722421">
    <guidance>Enter the number and percentage for the second listed subsequent therapy in the first treatment arm of Study 2.</guidance>
  </field>
  <field id="2051677724">
    <guidance>Enter the number and percentage for the first listed subsequent therapy in the first treatment arm of Study 2.</guidance>
  </field>
  <field id="40966385">
    <guidance>Enter the number and percentage for the second listed subsequent therapy in the second treatment arm of Study 2.</guidance>
  </field>
  <field id="1972125768">
    <guidance>Replace “Treatment 1” with the treatment name for this outcome.</guidance>
  </field>
  <field id="937981421">
    <guidance>Enter the sample size for treatment arm 1.</guidance>
  </field>
  <field id="1258531805">
    <guidance>Replace “Treatment 2” with the treatment name for this outcome.</guidance>
  </field>
  <field id="1476786157">
    <guidance>Enter the sample size for treatment arm 2.</guidance>
  </field>
  <field id="1282101737">
    <guidance>Replace this band with the continuous outcome name and its units.</guidance>
  </field>
  <field id="1413108311">
    <guidance>Replace this band with the dichotomous outcome name and its units.</guidance>
  </field>
  <field id="1215509121">
    <guidance>Replace this band with the time-to-event outcome name and its units.</guidance>
  </field>
  <field id="1669701757">
    <guidance>Enter patients analyzed for treatment arm 1 of this outcome.</guidance>
  </field>
  <field id="228181640">
    <guidance>Enter patients analyzed for treatment arm 2 of this outcome.</guidance>
  </field>
  <field id="609106811">
    <guidance>Enter baseline mean (SD) for treatment arm 1 of this outcome.</guidance>
  </field>
  <field id="1948471711">
    <guidance>Enter baseline mean (SD) for treatment arm 2 of this outcome.</guidance>
  </field>
  <field id="665321656">
    <guidance>Enter end-of-treatment value for treatment arm 1 of this outcome.</guidance>
  </field>
  <field id="1767344048">
    <guidance>Enter end-of-treatment value for treatment arm 2 of this outcome.</guidance>
  </field>
  <field id="1591601241">
    <guidance>Enter change from baseline for treatment arm 1 of this outcome.</guidance>
  </field>
  <field id="267121885">
    <guidance>Enter change from baseline for treatment arm 2 of this outcome.</guidance>
  </field>
  <field id="1759501106">
    <guidance>Enter difference versus control for treatment arm 1 of this outcome.</guidance>
  </field>
  <field id="79267020">
    <guidance>Enter difference versus control for treatment arm 2 of this outcome.</guidance>
  </field>
  <field id="296249480">
    <guidance>Enter P value for treatment arm 1 of this outcome.</guidance>
  </field>
  <field id="1250120688">
    <guidance>Enter P value for treatment arm 2 of this outcome.</guidance>
  </field>
  <field id="1314190250">
    <guidance>Enter n (%) for treatment arm 1 of this outcome.</guidance>
  </field>
  <field id="1137967173">
    <guidance>Enter n (%) for treatment arm 2 of this outcome.</guidance>
  </field>
  <field id="215140399">
    <guidance>Enter OR/RR (95% CI) for treatment arm 1 of this outcome.</guidance>
  </field>
  <field id="709270625">
    <guidance>Enter OR/RR (95% CI) for treatment arm 2 of this outcome.</guidance>
  </field>
  <field id="736057284">
    <guidance>Enter RD (95% CI) for treatment arm 1 of this outcome.</guidance>
  </field>
  <field id="1161887237">
    <guidance>Enter RD (95% CI) for treatment arm 2 of this outcome.</guidance>
  </field>
  <field id="1615120398">
    <guidance>Enter P value (dichotomous) for treatment arm 1 of this outcome.</guidance>
  </field>
  <field id="2098439437">
    <guidance>Enter P value (dichotomous) for treatment arm 2 of this outcome.</guidance>
  </field>
  <field id="2080988536">
    <guidance>Enter events n (%) for treatment arm 1 of this outcome.</guidance>
  </field>
  <field id="24677705">
    <guidance>Enter events n (%) for treatment arm 2 of this outcome.</guidance>
  </field>
  <field id="2116625410">
    <guidance>Enter overall survival median for treatment arm 1 of this outcome.</guidance>
  </field>
  <field id="1107993731">
    <guidance>Enter overall survival median for treatment arm 2 of this outcome.</guidance>
  </field>
  <field id="110558745">
    <guidance>Enter HR (95% CI) for treatment arm 1 of this outcome.</guidance>
  </field>
  <field id="639278874">
    <guidance>Enter HR (95% CI) for treatment arm 2 of this outcome.</guidance>
  </field>
  <field id="1940746162">
    <guidance>Enter P value (time-to-event) for treatment arm 1 of this outcome.</guidance>
  </field>
  <field id="1296899676">
    <guidance>Enter P value (time-to-event) for treatment arm 2 of this outcome.</guidance>
  </field>
  <field id="554703709">
    <guidance>Enter survival probability at X months for treatment arm 1 of this outcome.</guidance>
  </field>
  <field id="553107993">
    <guidance>Enter survival probability at X months for treatment arm 2 of this outcome.</guidance>
  </field>
  <field id="898624048">
    <guidance>Enter difference in survival probability for treatment arm 1 of this outcome.</guidance>
  </field>
  <field id="1022743342">
    <guidance>Enter difference in survival probability for treatment arm 2 of this outcome.</guidance>
  </field>
  <field id="1833050749">
    <guidance>Replace X with the reporting month for the survival probability, matching the analysis time point.</guidance>
  </field>
  <field id="983072481">
    <guidance>Replace “Treatment 1” with the treatment name.</guidance>
  </field>
  <field id="1457197877">
    <guidance>Enter the sample size for treatment arm 1.</guidance>
  </field>
  <field id="940017189">
    <guidance>Replace “Treatment 2” with the treatment name.</guidance>
  </field>
  <field id="212298022">
    <guidance>Enter the sample size for treatment arm 2.</guidance>
  </field>
  <field id="1156131808">
    <guidance>Enter the number and percentage of patients with at least one adverse event in treatment arm 1.</guidance>
  </field>
  <field id="1730456342">
    <guidance>Enter the number and percentage of patients with at least one adverse event in treatment arm 2.</guidance>
  </field>
  <field id="339957549">
    <guidance>Replace “State adverse event” with the adverse event name. Keep the table format.</guidance>
  </field>
  <field id="1676646681">
    <guidance>Enter the number and percentage for this adverse event in treatment arm 1.</guidance>
  </field>
  <field id="237151303">
    <guidance>Enter the number and percentage for this adverse event in treatment arm 2.</guidance>
  </field>
  <field id="1494054240">
    <guidance>Replace “State adverse event” with the adverse event name. Keep the table format.</guidance>
  </field>
  <field id="256239603">
    <guidance>Enter the number and percentage for this adverse event in treatment arm 1.</guidance>
  </field>
  <field id="398526255">
    <guidance>Enter the number and percentage for this adverse event in treatment arm 2.</guidance>
  </field>
  <field id="476826638">
    <guidance>Enter the number and percentage of patients with at least one serious adverse event in treatment arm 1.</guidance>
  </field>
  <field id="1471880758">
    <guidance>Enter the number and percentage of patients with at least one serious adverse event in treatment arm 2.</guidance>
  </field>
  <field id="1477737680">
    <guidance>Replace “State SAE” with the serious adverse event name.</guidance>
  </field>
  <field id="437963654">
    <guidance>Enter the number and percentage for this serious adverse event in treatment arm 1.</guidance>
  </field>
  <field id="705322254">
    <guidance>Enter the number and percentage for this serious adverse event in treatment arm 2.</guidance>
  </field>
  <field id="1930814023">
    <guidance>Replace “State SAE” with the serious adverse event name.</guidance>
  </field>
  <field id="1406392629">
    <guidance>Enter the number and percentage for this serious adverse event in treatment arm 1.</guidance>
  </field>
  <field id="2006320262">
    <guidance>Enter the number and percentage for this serious adverse event in treatment arm 2.</guidance>
  </field>
  <field id="1483521817">
    <guidance>Enter the number and percentage of patients who stopped treatment due to adverse events in treatment arm 1.</guidance>
  </field>
  <field id="33425579">
    <guidance>Enter the number and percentage of patients who stopped treatment due to adverse events in treatment arm 2.</guidance>
  </field>
  <field id="390444819">
    <guidance>Replace “State adverse event” with the adverse event that led to stopping treatment.</guidance>
  </field>
  <field id="360453968">
    <guidance>Enter the number and percentage for this event in treatment arm 1.</guidance>
  </field>
  <field id="488266923">
    <guidance>Enter the number and percentage for this event in treatment arm 2.</guidance>
  </field>
  <field id="80911201">
    <guidance>Replace “State adverse event” with the adverse event that led to stopping treatment.</guidance>
  </field>
  <field id="190329408">
    <guidance>Enter the number and percentage for this event in treatment arm 1.</guidance>
  </field>
  <field id="1646255212">
    <guidance>Enter the number and percentage for this event in treatment arm 2.</guidance>
  </field>
  <field id="721157853">
    <guidance>Enter the number and percentage of patients who died in treatment arm 1.</guidance>
  </field>
  <field id="1712975059">
    <guidance>Enter the number and percentage of patients who died in treatment arm 2.</guidance>
  </field>
  <field id="600321283">
    <guidance>Replace this instruction with a description of the events or the common causes of death.</guidance>
  </field>
  <field id="77268508">
    <guidance>Enter the number and percentage for the described deaths in treatment arm 1.</guidance>
  </field>
  <field id="1083791034">
    <guidance>Enter the number and percentage for the described deaths in treatment arm 2.</guidance>
  </field>
  <field id="1522498328">
    <guidance>Replace this instruction with the adverse event of special interest from the safety evaluation plan. Keep the n (%) unit label.</guidance>
  </field>
  <field id="1533928334">
    <guidance>Enter the number and percentage for this event of special interest in treatment arm 1.</guidance>
  </field>
  <field id="1291278805">
    <guidance>Enter the number and percentage for this event of special interest in treatment arm 2.</guidance>
  </field>
  <field id="860771384">
    <guidance>Replace “Treatment 1” with the first treatment name for Study 1.</guidance>
  </field>
  <field id="1018778104">
    <guidance>Enter the sample size for this treatment arm.</guidance>
  </field>
  <field id="1406005034">
    <guidance>Replace “Treatment 2” with the second treatment name for Study 1.</guidance>
  </field>
  <field id="65192411">
    <guidance>Enter the sample size for this treatment arm.</guidance>
  </field>
  <field id="1731720032">
    <guidance>Replace “Treatment 1” with the first treatment name for Study 2.</guidance>
  </field>
  <field id="968217480">
    <guidance>Enter the sample size for this treatment arm.</guidance>
  </field>
  <field id="1049378464">
    <guidance>Enter the baseline characteristic reported in this row (for example age, sex, disease stage).</guidance>
  </field>
  <field id="1176438440">
    <guidance>Enter the value of characteristic 1 for Study 2 treatment 2 in the long-term extension.</guidance>
  </field>
  <field id="1075297296">
    <guidance>Enter the value of characteristic 2 for Study 2 treatment 1 in the long-term extension.</guidance>
  </field>
  <field id="489454230">
    <guidance>Enter the value of characteristic 3 for Study 1 treatment 1 in the long-term extension.</guidance>
  </field>
  <field id="361470408">
    <guidance>Enter the value of characteristic 3 for Study 2 treatment 2 in the long-term extension.</guidance>
  </field>
  <field id="1104228471">
    <guidance>Replace “Treatment 1” with the treatment name for this arm.</guidance>
  </field>
  <field id="1112836441">
    <guidance>Enter the sample size for this treatment arm.</guidance>
  </field>
  <field id="2046945725">
    <guidance>Replace “Treatment 1” with the treatment name for this arm.</guidance>
  </field>
  <field id="923021044">
    <guidance>Enter the sample size for this treatment arm.</guidance>
  </field>
  <field id="687473353">
    <guidance>Enter the total exposure in patient-weeks or patient-years for Study 1 treatment 1 in the long-term extension.</guidance>
  </field>
  <field id="1397983571">
    <guidance>Enter the total exposure in patient-weeks or patient-years for Study 2 treatment 2 in the long-term extension.</guidance>
  </field>
  <field id="972909407">
    <guidance>Enter the mean (SD) duration of exposure for Study 1 treatment 1 in the long-term extension.</guidance>
  </field>
  <field id="293077732">
    <guidance>Enter the mean (SD) duration of exposure for Study 2 treatment 2 in the long-term extension.</guidance>
  </field>
  <field id="1693803272">
    <guidance>Enter the median (IQR or range) duration of exposure for Study 1 treatment 1 in the long-term extension.</guidance>
  </field>
  <field id="799762949">
    <guidance>Enter the median (IQR or range) duration of exposure for Study 1 treatment 2 in the long-term extension.</guidance>
  </field>
  <field id="1715456774">
    <guidance>Enter the median (IQR or range) duration of exposure for Study 2 treatment 1 in the long-term extension.</guidance>
  </field>
  <field id="1510024955">
    <guidance>Enter the median (IQR or range) duration of exposure for Study 2 treatment 2 in the long-term extension.</guidance>
  </field>
  <field id="298910876">
    <guidance>Summarize the key findings of the safety evaluation, with an overall summary table of key harms data and a clearly reported threshold for inclusion.</guidance>
  </field>
  <field id="680440901">
    <guidance>Report treatment-emergent adverse events at the preferred-term level (not treatment-related).</guidance>
  </field>
  <field id="957324082">
    <guidance>Describe the gaps in the systematic-review evidence and how any additional evidence in this document addresses them.</guidance>
  </field>
  <field id="1803231675">
    <guidance>Replace with the study identifier for this study of other design.</guidance>
  </field>
  <field id="1161473698">
    <guidance>Enter the number and percentage of patients with at least one adverse event in treatment arm 2 of the extension.</guidance>
  </field>
  <field id="583271820">
    <guidance>Replace “State adverse event” with the adverse event name.</guidance>
  </field>
  <field id="85530822">
    <guidance>Enter the number and percentage for this adverse event in treatment arm 1.</guidance>
  </field>
  <field id="1318482554">
    <guidance>Enter the sample size for this treatment arm.</guidance>
  </field>
  <field id="1723887216">
    <guidance>Enter the number and percentage for this adverse event in treatment arm 1.</guidance>
  </field>
  <field id="1496407134">
    <guidance>Enter the value of characteristic 1 for Study 1 treatment 2 in the long-term extension.</guidance>
  </field>
  <field id="303723184">
    <guidance>Enter the number and percentage with at least one serious adverse event in arm 2.</guidance>
  </field>
  <field id="968548643">
    <guidance>Enter the baseline characteristic reported in this row (for example age, sex, disease stage).</guidance>
  </field>
  <field id="323727383">
    <guidance>Enter the number and percentage for this serious adverse event in arm 2.</guidance>
  </field>
  <field id="687739638">
    <guidance>Enter the number and percentage for this serious adverse event in arm 2.</guidance>
  </field>
  <field id="461389432">
    <guidance>Replace “State adverse event” with the event that led to stopping treatment.</guidance>
  </field>
  <field id="1190689201">
    <guidance>Replace “State adverse event” with the event that led to stopping treatment.</guidance>
  </field>
  <field id="1793804968">
    <guidance>Replace “Treatment 2” with the treatment name for this arm.</guidance>
  </field>
  <field id="1908809376">
    <guidance>Enter the number and percentage of patients who died in arm 1.</guidance>
  </field>
  <field id="228398045">
    <guidance>Enter the sample size for this treatment arm.</guidance>
  </field>
  <field id="557704723">
    <guidance>Enter the number and percentage for the described deaths in arm 1.</guidance>
  </field>
  <field id="19432884">
    <guidance>Enter the number and percentage for the described deaths in arm 2.</guidance>
  </field>
  <field id="1384584813">
    <guidance>Replace with the adverse event of special interest from the safety evaluation plan. Keep the n (%) unit label.</guidance>
  </field>
  <field id="489955367">
    <guidance>Enter the mean (SD) duration of exposure for Study 2 treatment 1 in the long-term extension.</guidance>
  </field>
  <field id="1220217955">
    <guidance>Describe the population for the indirect comparison, replacing the instruction text.</guidance>
  </field>
  <field id="372248821">
    <guidance>Describe the outcomes for the indirect comparison, replacing the instruction text.</guidance>
  </field>
  <field id="992377972">
    <guidance>Enter the percentage adherence for Study 1 treatment 1 in the long-term extension.</guidance>
  </field>
  <field id="1592170354">
    <guidance>Describe the exclusion criteria for the indirect comparison, replacing the instruction text.</guidance>
  </field>
  <field id="1382578428">
    <guidance>Enter the percentage adherence for Study 2 treatment 2 in the long-term extension.</guidance>
  </field>
  <field id="815613641">
    <guidance>Describe the data extraction process for the indirect comparison, replacing the instruction text.</guidance>
  </field>
  <field id="1418799728">
    <guidance>Summarize treatment-emergent serious adverse events (not treatment-related).</guidance>
  </field>
  <field id="517443726">
    <guidance>Describe the consistency assessment used in the indirect comparison.</guidance>
  </field>
  <field id="1546147757">
    <guidance>Provide a brief summary and your conclusions about the evidence in the systematic review. No new evidence here.</guidance>
  </field>
  <field id="935500728">
    <guidance>Describe the follow-up timepoints used in the indirect comparison.</guidance>
  </field>
  <field id="167119208">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562408401">
    <guidance>Describe the subgroup analysis used in the indirect comparison.</guidance>
  </field>
  <field id="171266473">
    <guidance>Comment on similarities and differences across trials for treatment history, and how any effect modification was handled.</guidance>
  </field>
  <field id="704163184">
    <guidance>Enter the sample size for treatment arm 1.</guidance>
  </field>
  <field id="1749147245">
    <guidance>Comment on similarities and differences across trials for endpoint definitions, and how any effect modification was handled.</guidance>
  </field>
  <field id="239892466">
    <guidance>Replace “[Comparator 1]” with the comparator name.</guidance>
  </field>
  <field id="931854948">
    <guidance>Replace “[Comparator 2]” with the comparator name.</guidance>
  </field>
  <field id="1025378523">
    <guidance>Replace “[Comparator 3]” with the comparator name.</guidance>
  </field>
  <field id="159852965">
    <guidance>Replace with outcome 1's name, units, and time point, keeping the effect-measure label.</guidance>
  </field>
  <field id="885216680">
    <guidance>Enter outcome 1 as OR (95% CrI) for this comparator versus the drug under review.</guidance>
  </field>
  <field id="508443590">
    <guidance>Enter the number and percentage for this event in arm 1.</guidance>
  </field>
  <field id="1275972865">
    <guidance>Replace “[Comparator 3]” with the comparator name.</guidance>
  </field>
  <field id="563934557">
    <guidance>Enter the number and percentage for this event in arm 1.</guidance>
  </field>
  <field id="218753826">
    <guidance>Replace with outcome 1's name, units, and time point, keeping the effect-measure label.</guidance>
  </field>
  <field id="904553015">
    <guidance>Replace with outcome 2's name, units, and time point, keeping the effect-measure label.</guidance>
  </field>
  <field id="344059515">
    <guidance>Briefly describe the key results of that study, focusing on how they address the gap.</guidance>
  </field>
  <field id="1577482172">
    <guidance>Enter the number and percentage for this event in arm 1.</guidance>
  </field>
  <field id="1348867574">
    <guidance>Complete the regimen description, replacing the instruction text with your submission's values.</guidance>
  </field>
  <field id="1931836581">
    <guidance>Describe the intervention for the indirect comparison, replacing the instruction text.</guidance>
  </field>
  <field id="2025125224">
    <guidance>Complete the treatment description, replacing the instruction text with your submission's values.</guidance>
  </field>
  <field id="1649929290">
    <guidance>Describe the study designs for the indirect comparison, replacing the instruction text.</guidance>
  </field>
  <field id="361803547">
    <guidance>Complete the time horizon description, replacing the instruction text with your submission's values.</guidance>
  </field>
  <field id="865598486">
    <guidance>Describe the databases searched for the indirect comparison, replacing the instruction text.</guidance>
  </field>
  <field id="55874670">
    <guidance>Complete the modelled population characteristics description, replacing the instruction text with your submission's values.</guidance>
  </field>
  <field id="1404626440">
    <guidance>Describe the quality assessment for the indirect comparison, replacing the instruction text.</guidance>
  </field>
  <field id="706725562">
    <guidance>Complete the comparative efficacy sources description, replacing the instruction text with your submission's values.</guidance>
  </field>
  <field id="201019478">
    <guidance>Describe the model fit assessment used in the indirect comparison.</guidance>
  </field>
  <field id="1000818579">
    <guidance>Complete the cost sources description, replacing the instruction text with your submission's values.</guidance>
  </field>
  <field id="909304935">
    <guidance>Complete the base case results description, replacing the instruction text with your submission's values.</guidance>
  </field>
  <field id="461478005">
    <guidance>Describe the construction of nodes used in the indirect comparison.</guidance>
  </field>
  <field id="750533216">
    <guidance>State the reason for exclusion using the categories in the instruction (study design, intervention, comparator, population, outcome).</guidance>
  </field>
  <field id="1626573033">
    <guidance>Describe the pairwise meta-analysis methods used in the indirect comparison.</guidance>
  </field>
  <field id="626519908">
    <guidance>Comment on similarities and differences across trials for disease severity, and how any effect modification was handled.</guidance>
  </field>
  <field id="91697836">
    <guidance>Replace “Treatment 1” with the treatment or exposure group name.</guidance>
  </field>
  <field id="1198897289">
    <guidance>Comment on similarities and differences across trials for dosing of comparators, and how any effect modification was handled.</guidance>
  </field>
  <field id="1369000073">
    <guidance>Comment on similarities and differences across trials for withdrawal frequency, and how any effect modification was handled.</guidance>
  </field>
  <field id="1245672051">
    <guidance>Enter the baseline characteristic reported in this row.</guidance>
  </field>
  <field id="1917924410">
    <guidance>Enter the value of characteristic 2 for this group.</guidance>
  </field>
  <field id="2159407">
    <guidance>Enter the value of characteristic 2 for this group.</guidance>
  </field>
  <field id="1405499924">
    <guidance>Enter the baseline characteristic reported in this row.</guidance>
  </field>
  <field id="1471190389">
    <guidance>Enter outcome 1 as mean difference (95% CrI) for this comparator versus the drug under review.</guidance>
  </field>
  <field id="1269535842">
    <guidance>Enter outcome 2 as mean difference (95% CrI) for this comparator versus the drug under review.</guidance>
  </field>
  <field id="1834766682">
    <guidance>Replace “Treatment 1” with the group name.</guidance>
  </field>
  <field id="672981599">
    <guidance>Replace “[Comparator 1]” with the comparator name.</guidance>
  </field>
  <field id="601062290">
    <guidance>Enter the group size.</guidance>
  </field>
  <field id="1227791623">
    <guidance>Replace “Treatment 1” with the group name.</guidance>
  </field>
  <field id="23703140">
    <guidance>Enter the group size.</guidance>
  </field>
  <field id="1573025193">
    <guidance>Enter the total exposure in patient-weeks or patient-years for this group.</guidance>
  </field>
  <field id="527459532">
    <guidance>Briefly describe the study that addresses this gap (design, duration, population).</guidance>
  </field>
  <field id="243930847">
    <guidance>Enter the mean (SD) duration of exposure for this group.</guidance>
  </field>
  <field id="773279463">
    <guidance>Complete the submitted price description, replacing the instruction text with your submission's values.</guidance>
  </field>
  <field id="1471689963">
    <guidance>Enter the median (IQR or range) duration of exposure for this group.</guidance>
  </field>
  <field id="791844239">
    <guidance>Complete the type of economic evaluation description, replacing the instruction text with your submission's values.</guidance>
  </field>
  <field id="865332055">
    <guidance>Enter the median (IQR or range) duration of exposure for this group.</guidance>
  </field>
  <field id="389055137">
    <guidance>Enter the percentage adherence for this group.</guidance>
  </field>
  <field id="597889712">
    <guidance>Enter the percentage adherence for this group.</guidance>
  </field>
  <field id="1290928538">
    <guidance>Enter the percentage adherence for this group.</guidance>
  </field>
  <field id="1733181354">
    <guidance>Enter the percentage adherence for this group.</guidance>
  </field>
  <field id="853764126">
    <guidance>Replace “Treatment 2” with the group name.</guidance>
  </field>
  <field id="579985683">
    <guidance>Enter the group size.</guidance>
  </field>
  <field id="760827145">
    <guidance>Enter the number and percentage who received subsequent therapy in this group.</guidance>
  </field>
  <field id="1928443185">
    <guidance>Enter the number and percentage who received subsequent therapy in this group.</guidance>
  </field>
  <field id="1019899323">
    <guidance>Replace “Treatment 2” with the treatment or exposure group name.</guidance>
  </field>
  <field id="356300774">
    <guidance>Enter the group size.</guidance>
  </field>
  <field id="2030648041">
    <guidance>Enter the number and percentage for this therapy in this group.</guidance>
  </field>
  <field id="695583554">
    <guidance>Enter the number and percentage for this therapy in this group.</guidance>
  </field>
  <field id="275205492">
    <guidance>Enter the value of characteristic 1 for this group.</guidance>
  </field>
  <field id="2090568739">
    <guidance>Enter the number and percentage for this therapy in this group.</guidance>
  </field>
  <field id="338135094">
    <guidance>Replace “Treatment 2” with the second treatment name for Study 2.</guidance>
  </field>
  <field id="256921940">
    <guidance>Enter the value of characteristic 1 for Study 1 treatment 1 in the long-term extension.</guidance>
  </field>
  <field id="1836881752">
    <guidance>Enter the value of characteristic 1 for Study 2 treatment 1 in the long-term extension.</guidance>
  </field>
  <field id="1132590584">
    <guidance>Enter the value of characteristic 2 for Study 1 treatment 1 in the long-term extension.</guidance>
  </field>
  <field id="1575666822">
    <guidance>Enter the value of characteristic 2 for Study 1 treatment 2 in the long-term extension.</guidance>
  </field>
  <field id="592307323">
    <guidance>Enter the value of characteristic 2 for Study 2 treatment 2 in the long-term extension.</guidance>
  </field>
  <field id="1630721083">
    <guidance>Enter the baseline characteristic reported in this row (for example age, sex, disease stage).</guidance>
  </field>
  <field id="891586790">
    <guidance>Enter the value of characteristic 3 for Study 1 treatment 2 in the long-term extension.</guidance>
  </field>
  <field id="831097390">
    <guidance>Enter the value of characteristic 3 for Study 2 treatment 1 in the long-term extension.</guidance>
  </field>
  <field id="316662216">
    <guidance>Enter the sample size for this treatment arm.</guidance>
  </field>
  <field id="1218071684">
    <guidance>Replace “Treatment 2” with the treatment name for this arm.</guidance>
  </field>
  <field id="15627698">
    <guidance>Enter the total exposure in patient-weeks or patient-years for Study 1 treatment 2 in the long-term extension.</guidance>
  </field>
  <field id="1395608667">
    <guidance>Enter the total exposure in patient-weeks or patient-years for Study 2 treatment 1 in the long-term extension.</guidance>
  </field>
  <field id="1668824096">
    <guidance>Enter the mean (SD) duration of exposure for Study 1 treatment 2 in the long-term extension.</guidance>
  </field>
  <field id="195201594">
    <guidance>Enter the percentage adherence for Study 1 treatment 2 in the long-term extension.</guidance>
  </field>
  <field id="1504423395">
    <guidance>Enter the percentage adherence for Study 2 treatment 1 in the long-term extension.</guidance>
  </field>
  <field id="1037532054">
    <guidance>Describe the overall safety evaluation plan for the drug under review and clearly identify the population summarized in this section.</guidance>
  </field>
  <field id="1407394812">
    <guidance>Summarize withdrawals due to adverse events and events that interrupted treatment, identifying the adverse events that led to withdrawal.</guidance>
  </field>
  <field id="951825012">
    <guidance>Summarize any adverse events of special interest and, if relevant, how they were managed in the clinical trials.</guidance>
  </field>
  <field id="1981007380">
    <guidance>Provide a brief summary and your conclusions about the indirect-comparison evidence.</guidance>
  </field>
  <field id="1444027236">
    <guidance>Describe the long-term extension study design, objectives, and conduct.</guidance>
  </field>
  <field id="1400233702">
    <guidance>Replace with the same study identifier.</guidance>
  </field>
  <field id="1689685049">
    <guidance>Replace “Treatment 1” with the treatment name.</guidance>
  </field>
  <field id="433728940">
    <guidance>Replace “Treatment 2” with the treatment name.</guidance>
  </field>
  <field id="1098717979">
    <guidance>Enter the sample size for treatment arm 2.</guidance>
  </field>
  <field id="1482161231">
    <guidance>Enter the number and percentage of patients with at least one adverse event in treatment arm 1 of the extension.</guidance>
  </field>
  <field id="1004057761">
    <guidance>Enter the number and percentage for this adverse event in treatment arm 2.</guidance>
  </field>
  <field id="191311252">
    <guidance>Replace “State adverse event” with the adverse event name.</guidance>
  </field>
  <field id="1923920028">
    <guidance>Enter the number and percentage for this adverse event in treatment arm 2.</guidance>
  </field>
  <field id="776854055">
    <guidance>Enter the number and percentage with at least one serious adverse event in arm 1.</guidance>
  </field>
  <field id="1288993385">
    <guidance>Replace “State SAE” with the serious adverse event name.</guidance>
  </field>
  <field id="1884585250">
    <guidance>Enter the number and percentage for this serious adverse event in arm 1.</guidance>
  </field>
  <field id="959558203">
    <guidance>Replace “State SAE” with the serious adverse event name.</guidance>
  </field>
  <field id="289648320">
    <guidance>Enter the number and percentage for this serious adverse event in arm 1.</guidance>
  </field>
  <field id="451052731">
    <guidance>Enter the number and percentage who stopped treatment due to adverse events in arm 1.</guidance>
  </field>
  <field id="95369199">
    <guidance>Enter the number and percentage who stopped treatment due to adverse events in arm 2.</guidance>
  </field>
  <field id="1504985604">
    <guidance>Enter the number and percentage for this event in arm 2.</guidance>
  </field>
  <field id="889519286">
    <guidance>Enter the number and percentage for this event in arm 2.</guidance>
  </field>
  <field id="1270362143">
    <guidance>Enter the number and percentage of patients who died in arm 2.</guidance>
  </field>
  <field id="1953910705">
    <guidance>Replace this instruction with a description of the events or common causes of death.</guidance>
  </field>
  <field id="1862679142">
    <guidance>Enter the number and percentage for this event in arm 2.</guidance>
  </field>
  <field id="1527988822">
    <guidance>Describe the comparators for the indirect comparison, replacing the instruction text.</guidance>
  </field>
  <field id="2005341435">
    <guidance>Describe the publication characteristics for the indirect comparison, replacing the instruction text.</guidance>
  </field>
  <field id="988005254">
    <guidance>Describe the selection process for the indirect comparison, replacing the instruction text.</guidance>
  </field>
  <field id="1685979330">
    <guidance>Describe the analysis methods used in the indirect comparison.</guidance>
  </field>
  <field id="1603112739">
    <guidance>Describe the priors used in the indirect comparison.</guidance>
  </field>
  <field id="1820375432">
    <guidance>Describe the convergence assessment used in the indirect comparison.</guidance>
  </field>
  <field id="1610320730">
    <guidance>Describe the outcomes used in the indirect comparison.</guidance>
  </field>
  <field id="230175398">
    <guidance>Describe the sensitivity analyses used in the indirect comparison.</guidance>
  </field>
  <field id="715193424">
    <guidance>Comment on similarities and differences across trials for trial eligibility criteria, and how any effect modification was handled.</guidance>
  </field>
  <field id="1265773147">
    <guidance>Comment on similarities and differences across trials for placebo response, and how any effect modification was handled.</guidance>
  </field>
  <field id="296348191">
    <guidance>Comment on similarities and differences across trials for timing of endpoint evaluation, and how any effect modification was handled.</guidance>
  </field>
  <field id="2019724292">
    <guidance>Comment on similarities and differences across trials for clinical trial setting, and how any effect modification was handled.</guidance>
  </field>
  <field id="2027707133">
    <guidance>Comment on similarities and differences across trials for study design, and how any effect modification was handled.</guidance>
  </field>
  <field id="228677229">
    <guidance>Enter outcome 1 as mean difference (95% CrI) for this comparator versus the drug under review.</guidance>
  </field>
  <field id="279834014">
    <guidance>Enter outcome 2 as mean difference (95% CrI) for this comparator versus the drug under review.</guidance>
  </field>
  <field id="1983588840">
    <guidance>Enter outcome 1 as mean difference (95% CrI) for this comparator versus the drug under review.</guidance>
  </field>
  <field id="1403023323">
    <guidance>Enter outcome 2 as mean difference (95% CrI) for this comparator versus the drug under review.</guidance>
  </field>
  <field id="152209311">
    <guidance>Replace with outcome 2's name, units, and time point, keeping the effect-measure label.</guidance>
  </field>
  <field id="771789635">
    <guidance>Enter outcome 2 as OR (95% CrI) for this comparator versus the drug under review.</guidance>
  </field>
  <field id="1656648519">
    <guidance>Replace “[Comparator 2]” with the comparator name.</guidance>
  </field>
  <field id="319886392">
    <guidance>Enter outcome 1 as OR (95% CrI) for this comparator versus the drug under review.</guidance>
  </field>
  <field id="2072108177">
    <guidance>Enter outcome 2 as OR (95% CrI) for this comparator versus the drug under review.</guidance>
  </field>
  <field id="1053497291">
    <guidance>Enter outcome 1 as OR (95% CrI) for this comparator versus the drug under review.</guidance>
  </field>
  <field id="1709767885">
    <guidance>Enter outcome 2 as OR (95% CrI) for this comparator versus the drug under review.</guidance>
  </field>
  <field id="1883415620">
    <guidance>Describe the population, outcome, or other gap in the pivotal and RCT evidence, replacing the example.</guidance>
  </field>
  <field id="264985966">
    <guidance>Complete the drug under review description, replacing the instruction text with your submission's values.</guidance>
  </field>
  <field id="1289662293">
    <guidance>Complete the acquisition cost description, replacing the instruction text with your submission's values.</guidance>
  </field>
  <field id="907116021">
    <guidance>Complete the included comparators description, replacing the instruction text with your submission's values.</guidance>
  </field>
  <field id="1495586639">
    <guidance>Complete the perspective description, replacing the instruction text with your submission's values.</guidance>
  </field>
  <field id="2131547341">
    <guidance>Complete the cycle length description, replacing the instruction text with your submission's values.</guidance>
  </field>
  <field id="1891807567">
    <guidance>Complete the modelled populations description, replacing the instruction text with your submission's values.</guidance>
  </field>
  <field id="758313764">
    <guidance>Complete the model health states description, replacing the instruction text with your submission's values.</guidance>
  </field>
  <field id="1190394190">
    <guidance>Complete the duration of treatment description, replacing the instruction text with your submission's values.</guidance>
  </field>
  <field id="508644034">
    <guidance>Complete the natural history sources description, replacing the instruction text with your submission's values.</guidance>
  </field>
  <field id="635493110">
    <guidance>Complete the utilities sources description, replacing the instruction text with your submission's values.</guidance>
  </field>
  <field id="314227250">
    <guidance>Complete the scenario analysis results description, replacing the instruction text with your submission's values.</guidance>
  </field>
  <field id="390713565">
    <guidance>Replace “Add reference” with the citation of the excluded study.</guidance>
  </field>
  <field id="1427467093">
    <guidance>Replace “Treatment 1” with the treatment or exposure group name.</guidance>
  </field>
  <field id="1836536024">
    <guidance>Replace “Treatment 2” with the treatment or exposure group name.</guidance>
  </field>
  <field id="1704333009">
    <guidance>Enter the group size.</guidance>
  </field>
  <field id="1985125782">
    <guidance>Enter the group size.</guidance>
  </field>
  <field id="1895505513">
    <guidance>Enter the baseline characteristic reported in this row.</guidance>
  </field>
  <field id="514028036">
    <guidance>Enter the value of characteristic 1 for this group.</guidance>
  </field>
  <field id="1598447578">
    <guidance>Enter the value of characteristic 1 for this group.</guidance>
  </field>
  <field id="1276569996">
    <guidance>Enter the value of characteristic 1 for this group.</guidance>
  </field>
  <field id="1077958665">
    <guidance>Enter the value of characteristic 2 for this group.</guidance>
  </field>
  <field id="862451464">
    <guidance>Enter the value of characteristic 2 for this group.</guidance>
  </field>
  <field id="597361886">
    <guidance>Enter the value of characteristic 3 for this group.</guidance>
  </field>
  <field id="1010336166">
    <guidance>Enter the value of characteristic 3 for this group.</guidance>
  </field>
  <field id="2063565916">
    <guidance>Enter the value of characteristic 3 for this group.</guidance>
  </field>
  <field id="1031379371">
    <guidance>Enter the value of characteristic 3 for this group.</guidance>
  </field>
  <field id="54678570">
    <guidance>Enter the group size.</guidance>
  </field>
  <field id="194116649">
    <guidance>Replace “Treatment 2” with the group name.</guidance>
  </field>
  <field id="46763209">
    <guidance>Enter the group size.</guidance>
  </field>
  <field id="1481873822">
    <guidance>Replace “Treatment 2” with the group name.</guidance>
  </field>
  <field id="675561605">
    <guidance>Enter the total exposure in patient-weeks or patient-years for this group.</guidance>
  </field>
  <field id="854506818">
    <guidance>Enter the total exposure in patient-weeks or patient-years for this group.</guidance>
  </field>
  <field id="763146376">
    <guidance>Enter the total exposure in patient-weeks or patient-years for this group.</guidance>
  </field>
  <field id="2090488996">
    <guidance>Enter the mean (SD) duration of exposure for this group.</guidance>
  </field>
  <field id="1346657533">
    <guidance>Enter the mean (SD) duration of exposure for this group.</guidance>
  </field>
  <field id="1355495822">
    <guidance>Enter the mean (SD) duration of exposure for this group.</guidance>
  </field>
  <field id="1795005135">
    <guidance>Enter the median (IQR or range) duration of exposure for this group.</guidance>
  </field>
  <field id="1649833708">
    <guidance>Enter the median (IQR or range) duration of exposure for this group.</guidance>
  </field>
  <field id="1342977823">
    <guidance>Replace “Treatment 1” with the group name.</guidance>
  </field>
  <field id="2091568375">
    <guidance>Enter the group size.</guidance>
  </field>
  <field id="1834059550">
    <guidance>Enter the group size.</guidance>
  </field>
  <field id="1061093961">
    <guidance>Replace “Treatment 1” with the group name.</guidance>
  </field>
  <field id="504541961">
    <guidance>Enter the group size.</guidance>
  </field>
  <field id="684564564">
    <guidance>Replace “Treatment 2” with the group name.</guidance>
  </field>
  <field id="1102746211">
    <guidance>Enter the group size.</guidance>
  </field>
  <field id="607463740">
    <guidance>Enter the number and percentage who received subsequent therapy in this group.</guidance>
  </field>
  <field id="796055083">
    <guidance>Enter the number and percentage who received subsequent therapy in this group.</guidance>
  </field>
  <field id="286853833">
    <guidance>Replace “State therapy” with the first subsequent therapy. Keep the n (%) unit label.</guidance>
  </field>
  <field id="1772665119">
    <guidance>Enter the number and percentage for this therapy in this group.</guidance>
  </field>
  <field id="564217847">
    <guidance>Enter the number and percentage for this therapy in this group.</guidance>
  </field>
  <field id="807513333">
    <guidance>Replace “State therapy” with the second subsequent therapy. Keep the n (%) unit label.</guidance>
  </field>
  <field id="1720141317">
    <guidance>Enter the number and percentage for this therapy in this group.</guidance>
  </field>
  <field id="701151610">
    <guidance>Enter the number and percentage for this therapy in this group.</guidance>
  </field>
  <field id="1674083465">
    <guidance>Enter the number and percentage for this therapy in this group.</guidance>
  </field>
  <field id="1538325956">
    <guidance>Replace this subheading with the name of endpoint 1 reported for this study of other design.</guidance>
  </field>
  <field id="318887612">
    <guidance>Replace this subheading with the name of endpoint 1 for the sequential study report.</guidance>
  </field>
  <field id="76725622">
    <guidance>Replace this subheading with the name of endpoint 2 reported for this study.</guidance>
  </field>
  <field id="41185733">
    <guidance>Replace this subheading with the name of endpoint 2 for the sequential study report.</guidance>
  </field>
  <field id="1612865958">
    <guidance>Replace this subheading with the name of endpoint 3 reported for this study.</guidance>
  </field>
  <field id="354599696">
    <guidance>Replace this subheading with the name of endpoint 3 for the sequential study report.</guidance>
  </field>
  <field id="1759026699">
    <guidance>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guidance>
    <guidanceRich format="application/vnd.openxmlformats-officedocument.wordprocessingml.document;base64">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2vx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Da/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Da/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Da/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2vx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Nr8fXQAAAAAAAAAAAAAAAAUAAAB3b3JkL1BLAwQKAAAACAA2vx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</guidanceRich>
  </field>
  <field id="1663243863">
    <guidance>Literature searches must be developed following internationally accepted standards for systematic reviews. Examples of search guidance documents include: 
European Network for Health Technology Assessment. Process of information retrieval for systematic reviews and health technology assessments on clinical effectiveness. Methodological Guidelines. Diemen (The Netherlands): EUnetHTA; 2019. ;
Lefebvre C, Glanville J, Briscoe S, Littlewood A, Marshall C, Metzendorf M-I, Noel-Storr A, Rader T, Shokraneh F, Thomas J, Wieland LS. Chapter 4: Searching for and selecting studies. In: Higgins JPT, Thomas J, Chandler J, Cumpston M, Li T, Page MJ, Welch VA (editors). Cochrane Handbook for Systematic Reviews of Interventions version 6.2 (updated February 2021). Cochrane, 2021.
MEDLINE and Embase must be searched as these are the major biomedical bibliographic databases that concern pharmaceuticals. Other databases may be included as relevant, for example: (Cochrane, CENTRAL, PsycINFO, CINAHL, Scopus, Web of Science). Use a sensitive database search strategy, employing:
controlled vocabulary (e.g., MeSH, Emtree terms, etc.); 
text words (e.g., synonyms);
registry numbers;
chemical drug names; 
trade drug names; 
generic drug names.
 Ovid MEDLINE: (trade drug name or generic drug name or developmental drug name).ti,ab,kf,ot,hw,rn,nm.
Ovid Embase: Generic drug name/ or (trade drug name or generic drug name or developmental drug name).ti,ab,kf,ot,rn,dq.
 CDA-AMC search filters database
Glanville J, Lefebvre C, Manson P, Robinson S and Shaw N, editors. ISSG Search Filter Resource. York (UK): The InterTASC Information Specialists' Sub-Group; 2006 [updated 9 Nov. 2021; cited 9 Nov. 2021].
Multiple trial registries should be searched and reported on in the literature search appendix section, including:
ClinicalTrials.gov: Produced by the U.S. National Library of Medicine;
WHO ICTRP: International Clinical Trials Registry Platform, produced by the World Health Organization;
Health Canada’s Clinical Trials Database;
EU Clinical Trials Register: European Union Clinical Trials Register, produced by the European Union. 
No filters were applied to limit the retrieval by study type. Retrieval was not limited by publication date or by language. See Appendix 1 for the detailed search strategies. The initial search was completed on MONTH DAY, YEAR.</guidance>
  </field>
  <field id="1445285894">
    <guidance>In this space the sponsor must summarize key adverse event data for the drug under review. Whenever possible, focus on integrated safety data and only summarize individual trials if they are not included in the pooled safety analyses (e.g., relevant trials that conducted after the integrated analysis was completed). Do not report results of statistical analyses for safety outcomes.</guidance>
  </field>
  <field id="25554223">
    <guidance>Provide a brief overview of the overall safety evaluation plan for the drug under review and clearly identify the population that is summarized in this template. This will typically align with the safety population that is used in the product monograph. Keep this description to a maximum of a half page.</guidance>
  </field>
  <field id="1812042767">
    <guidance>Summarize the key findings of the safety evaluation for the drug under review. Provide an overall summary table of key harms data (example shown below). Please note the following:
Thresholds for common events may vary across development programs. Please ensure that the threshold for inclusion in the table is clearly reported (e.g., ≥5% of patients). The threshold should generally align with what has been included in the draft or final product monograph. 
Please report individual events at the preferred term level.</guidance>
  </field>
  <field id="8283627">
    <guidance>Report treatment-emergent adverse events (do not report treatment-related adverse events).</guidance>
  </field>
  <field id="1300731115">
    <guidance>Summarize treatment-emergent serious adverse events (do not report treatment-related events).</guidance>
  </field>
  <field id="517772690">
    <guidance>Summarize withdrawals due to adverse events and adverse events that resulted in an interruption of the study treatment(s). Clearly identify if the adverse events resulted in discontinuation of the study treatment and/or complete discontinuation from the study.</guidance>
  </field>
  <field id="1880334514">
    <guidance>Provide a brief summary of any adverse events of special interest. If relevant, provide a summary of how these events were managed in the clinical trial.</guidance>
  </field>
  <field id="1748456287">
    <guidance>Please clearly identify any important gaps in the evidence summarized in this section. If the sponsor is providing additional evidence in Section 5 to address important gaps in the evidence that has been presented within Section 2 of the template, the gaps must be identified in this space.
Example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1100246410">
    <guidance>Briefly describe the study design and include any connection to studies included in the systematic review (if applicable). For example, “this study was a long-term extension of the [pivotal trial name]”.</guidance>
  </field>
  <field id="1563606667">
    <guidance>Briefly describe the inclusion and exclusion criteria. Any criteria for continuing from the pivotal trial into the extension trial should be specified.</guidance>
  </field>
  <field id="1790111029">
    <guidance>Briefly describe the interventions used in the study and use of concomitant medications and/or treatments.</guidance>
  </field>
  <field id="491286797">
    <guidance>Provide a brief summary of the efficacy and safety outcomes that will be included in this summary.</guidance>
  </field>
  <field id="219415411">
    <guidance>Provide a brief summary of the key components of any statistical analyses. For all analyses clearly define when the baseline assessments were performed (e.g., at the outset of the parent study or the beginning of the extension study).</guidance>
  </field>
  <field id="1415065320">
    <guidance>Summarize relevant baseline demographic and clinical characteristics using a table (example table below). Indicate in the table which analysis set the baseline characteristics have been summarized for (e.g., safety analysis set).</guidance>
  </field>
  <field id="2024381964">
    <guidance>Summarize patient disposition for the study using a summary table.</guidance>
  </field>
  <field id="473484861">
    <guidance>Summarize exposure using a table (example provided below). Within the text, please describe any discrepancies between treatment groups. Include information on adherence to treatment where relevant.</guidance>
  </field>
  <field id="682740380">
    <guidance>Provide a summary table summarize relevant concomitant medications used during the studies.</guidance>
  </field>
  <field id="1673917880">
    <guidance>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guidance>
  </field>
  <field id="400911679">
    <guidance>Present the safety outcomes in a table and summarize key findings in the text. Include AEs, SAEs, WDAEs, deaths, and adverse events of special interest. Make sure to use data from treatment-emergent adverse events.</guidance>
  </field>
  <field id="2084997880">
    <guidance>Provide a brief summary and your conclusions about the long-term extension evidence.</guidance>
  </field>
  <field id="1502989581">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764049985">
    <guidance>Provide the objective of the indirect comparison focusing on the evidence gap it is aiming to address (e.g., absence of direct evidence for relevant comparators).</guidance>
  </field>
  <field id="656653656">
    <guidance>Summarize each included ITC in tabular format using one or more tables similar to the one below. Do not repeat information in the text that is presented in the tables. 
Describe the methods used to conduct the systematic review and to select studies for inclusion in the indirect comparison.
Describe the methods used to extract data (e.g., duplicate extraction, or single reviewer extraction with check).
Describe how the authors assessed study quality, and how this information was used (e.g., to exclude certain studies).</guidance>
  </field>
  <field id="80408254">
    <guidance>State the indication that has been approved or is currently under review by Health Canada.
State the reimbursement request; please include the rationale if this differs from the approved/proposed Health Canada indication.</guidance>
    <guidanceRich format="application/vnd.openxmlformats-officedocument.wordprocessingml.document;base64">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9rU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2tR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2tR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2tR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9rU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Pa1H10AAAAAAAAAAAAAAAAFAAAAd29yZC9QSwMECgAAAAgA9rU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</guidanceRich>
  </field>
  <field id="1892960731">
    <guidance>Briefly state which diagrams illustrating the proposed place in therapy are provided. Provide one or more figures illustrating the proposed place in therapy. If drug sequencing varies by patient subpopulations, the sponsor should consider providing multiple algorithms, with each appropriately labelled to indicate the patient category.</guidance>
    <guidanceRich format="application/vnd.openxmlformats-officedocument.wordprocessingml.document;base64">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rs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Gux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Gux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Gux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rs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a7H10AAAAAAAAAAAAAAAAFAAAAd29yZC9QSwMECgAAAAgARrs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</guidanceRich>
  </field>
  <field id="666065098">
    <guidance>Please add a list of tables.</guidance>
    <guidanceRich format="application/vnd.openxmlformats-officedocument.wordprocessingml.document;base64">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Jg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0mC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0mC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0mC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Jg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SYI10AAAAAAAAAAAAAAAAFAAAAd29yZC9QSwMECgAAAAgAtJg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</guidanceRich>
  </field>
  <field id="1792627528">
    <guidance>Add any additional abbreviations used in the document.</guidance>
    <guidanceRich format="application/vnd.openxmlformats-officedocument.wordprocessingml.document;base64">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9m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2Y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2Y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2Y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9m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vZgjXQAAAAAAAAAAAAAAAAUAAAB3b3JkL1BLAwQKAAAACAC9m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</guidanceRich>
  </field>
  <field id="691662644">
    <guidance>State the detailed proposed initiation, renewal, discontinuation, and/or prescribing conditions for accompanying a recommendation to reimburse the drug under review. These conditions will be considered by the expert committee along with the other inputs to their deliberation, and there will be no expectations that these conditions will be adopted by the expert committee when developing the reimbursement recommendation. For each proposed condition, include a reason to support the condition.
    • State each reimbursement condition in a separate row, using a numbered list.
    • Use the words “and” and “or” between components of a condition to clearly indicate whether all components must be met or at least one must be met. Alternatively, use a bulleted list of components, preceded by “all of the following” or “any of the following”.
    • Refer to the Examples of Commonly Used Reimbursement Conditions table in the Recommendation Framework section in the Procedures for Reimbursement Reviews.
    • Use generic drug names throughout the table</guidance>
    <guidanceRich format="application/vnd.openxmlformats-officedocument.wordprocessingml.document;base64">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0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0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1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DSeI10AAAAAAAAAAAAAAAAFAAAAd29yZC9QSwMECgAAAAgAN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</guidanceRich>
  </field>
  <field id="1985672964">
    <guidance>Abbreviations must be listed under the table in alphabetical order.</guidance>
    <guidanceRich format="application/vnd.openxmlformats-officedocument.wordprocessingml.document;base64">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Ne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Ne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Ne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16AjXQAAAAAAAAAAAAAAAAUAAAB3b3JkL1BLAwQKAAAACAD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</guidanceRich>
  </field>
  <field id="1278843648">
    <guidance>Please describe the health care resources required for patients in the post-treatment phase, including (but not limited to):
    • any drugs required to prevent or reduce the risk of adverse events associated with the drug under review and/or the administration procedure(s)
        ◦ non-proprietary name, dosage, route of administration
        ◦ timing relative to the receiving the drug under review and duration of treatment
        ◦ setting for the post-treatment drugs (e.g., home administration, physician’s office, outpatient clinic, inpatient hospital setting)
    • any additional monitoring requirements to ensure the safety of the patient after receiving the drug.
    • anticipated duration and setting for recovery from the procedures (e.g., hospitalization or need to be near a specialized treatment centre for a particular time period) and factors that could influence recovery time.</guidance>
    <guidanceRich format="application/vnd.openxmlformats-officedocument.wordprocessingml.document;base64">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a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B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B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B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a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GhI10AAAAAAAAAAAAAAAAFAAAAd29yZC9QSwMECgAAAAgAAa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</guidanceRich>
  </field>
  <field id="193925407">
    <guidance>Please describe the health care resources required in the pre-treatment phase for patients preparing to undergo treatment with the drug under review.
    • Provide the following information for any drugs that are required to prepare the patient to receive the drug under review:
        ◦ non-proprietary name, dosage, route of administration
        ◦ timing relative to the receiving the drug under review
        ◦ setting to administer the pre-treatment drugs (e.g., home, physician’s office, outpatient clinic, inpatient hospital setting).
    • Provide the following information for any medical procedures that are required to prepare the patient to receive the drug under review:
        ◦ name and rationale of the procedure
        ◦ timing of the procedure relative to receiving the drug under review
        ◦ setting for the procedure (e.g., physician’s office, outpatient clinic, inpatient hospital setting)
        ◦ anticipated duration and setting expected for recovery from the procedures (e.g., hospitalization for a particular time period) and factors that could influence recovery time.</guidance>
    <guidanceRich format="application/vnd.openxmlformats-officedocument.wordprocessingml.document;base64">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goS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CCh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CCh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CCh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goS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IKEjXQAAAAAAAAAAAAAAAAUAAAB3b3JkL1BLAwQKAAAACAAgoS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</guidanceRich>
  </field>
  <field id="1711002088">
    <guidance>Use this space to extract a first draft of the relevant population groups and subgroups prior to filling out the table below or to complement the description in the table. 
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1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W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W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W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1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daIjXQAAAAAAAAAAAAAAAAUAAAB3b3JkL1BLAwQKAAAACAB1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</guidanceRich>
  </field>
  <field id="1669481612">
    <guidance>Use this space to extract a first draft of the relevant population groups and subgroups prior to filling out the table below or to complement the description in the table.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5qI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mo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mo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mo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5qI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OaiI10AAAAAAAAAAAAAAAAFAAAAd29yZC9QSwMECgAAAAgA5qI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moiNdAAAAAAAAAAAAAAAACwAAAHdvcmQvdGhlbWUvUEsDBAoAAAAAAOaiI10AAAAAAAAAAAAAAAALAAAAd29yZC9fcmVscy9QSwECFAAKAAAACADtoiNdiGLIcwYDAADLCAAAEQAAAAAAAAAAAAAAAAAAAAAAd29yZC9kb2N1bWVudC54bWxQSwECFAAKAAAACACMahxdgeC4LooBAACuAwAAEQAAAAAAAAAAAAAAAAA1AwAAd29yZC9zZXR0aW5ncy54bWxQSwECFAAKAAAACADmoiNdAmQjCH4dAAD5OwEADwAAAAAAAAAAAAAAAADuBAAAd29yZC9zdHlsZXMueG1sUEsBAhQACgAAAAgA5qIjXWhQP9PuAgAA2QwAABUAAAAAAAAAAAAAAAAAmSIAAHdvcmQvdGhlbWUvdGhlbWUxLnhtbFBLAQIUAAoAAAAIAOaiI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</guidanceRich>
  </field>
  <field id="1768930">
    <guidance>Use this space to extract a first draft of the relevant population groups and subgroups prior to filling out the table below or to complement the description in the table.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EW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a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a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a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EW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FoyNdAAAAAAAAAAAAAAAABQAAAHdvcmQvUEsDBAoAAAAIAEW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</guidanceRich>
  </field>
  <field id="350684775">
    <guidance>Use this space to extract a first draft of the relevant population groups and subgroups prior to filling out the table below or to complement the description in the table.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O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c6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c6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c6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O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zoyNdAAAAAAAAAAAAAAAABQAAAHdvcmQvUEsDBAoAAAAIAHO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</guidanceRich>
  </field>
  <field id="909017236">
    <guidance>Use this space to extract a first draft of the relevant population groups and subgroups prior to filling out the table below or to provide a supplementary to the table.
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s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s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s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yjI10AAAAAAAAAAAAAAAAFAAAAd29yZC9QSwMECgAAAAgAr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</guidanceRich>
  </field>
  <field id="486984095">
    <guidance>Abbreviations must be listed under the table in alphabetical order. For example, CI = confidence interval; OR = odds ratio</guidance>
    <guidanceRich format="application/vnd.openxmlformats-officedocument.wordprocessingml.document;base64">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loy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Wj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Wj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Wj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loy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aMjXQAAAAAAAAAAAAAAAAUAAAB3b3JkL1BLAwQKAAAACADloy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</guidanceRich>
  </field>
</palmeraFields>
</file>

<file path=word/customXml/palmeraFieldsProps.xml><?xml version="1.0" encoding="utf-8"?>
<ds:datastoreItem xmlns:ds="http://schemas.openxmlformats.org/officeDocument/2006/customXml" ds:itemID="{C5213173-77C7-2A48-24CA-AE588BF95814}">
  <ds:schemaRefs>
    <ds:schemaRef ds:uri="urn:palmera:fields"/>
  </ds:schemaRefs>
</ds:datastoreItem>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716158-b5e4-4d83-a7d1-d8cdf2bb7841">
      <Terms xmlns="http://schemas.microsoft.com/office/infopath/2007/PartnerControls"/>
    </lcf76f155ced4ddcb4097134ff3c332f>
    <TaxCatchAll xmlns="0af283f9-293e-4176-b3ca-b8870eca8630" xsi:nil="true"/>
    <Note xmlns="6c716158-b5e4-4d83-a7d1-d8cdf2bb78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AB00934614A144A4E7A8AE21B1FA05" ma:contentTypeVersion="18" ma:contentTypeDescription="Create a new document." ma:contentTypeScope="" ma:versionID="dfa73f0ca43d3b663e6e9331e3af5dc9">
  <xsd:schema xmlns:xsd="http://www.w3.org/2001/XMLSchema" xmlns:xs="http://www.w3.org/2001/XMLSchema" xmlns:p="http://schemas.microsoft.com/office/2006/metadata/properties" xmlns:ns2="6c716158-b5e4-4d83-a7d1-d8cdf2bb7841" xmlns:ns3="0af283f9-293e-4176-b3ca-b8870eca8630" targetNamespace="http://schemas.microsoft.com/office/2006/metadata/properties" ma:root="true" ma:fieldsID="4d7be4e543abb19be3e0726a0732fe9a" ns2:_="" ns3:_="">
    <xsd:import namespace="6c716158-b5e4-4d83-a7d1-d8cdf2bb7841"/>
    <xsd:import namespace="0af283f9-293e-4176-b3ca-b8870eca8630"/>
    <xsd:element name="properties">
      <xsd:complexType>
        <xsd:sequence>
          <xsd:element name="documentManagement">
            <xsd:complexType>
              <xsd:all>
                <xsd:element ref="ns2:No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16158-b5e4-4d83-a7d1-d8cdf2bb7841" elementFormDefault="qualified">
    <xsd:import namespace="http://schemas.microsoft.com/office/2006/documentManagement/types"/>
    <xsd:import namespace="http://schemas.microsoft.com/office/infopath/2007/PartnerControls"/>
    <xsd:element name="Note" ma:index="8" nillable="true" ma:displayName="Note" ma:format="Dropdown" ma:internalName="Not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f20bb9-cf8e-401f-80ac-d315a80931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283f9-293e-4176-b3ca-b8870eca86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63c636-47d0-49e6-a155-8ae5e7764f44}" ma:internalName="TaxCatchAll" ma:showField="CatchAllData" ma:web="0af283f9-293e-4176-b3ca-b8870eca86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almeraProvenance xmlns="urn:palmera:provenance"/>
</file>

<file path=customXml/itemProps1.xml><?xml version="1.0" encoding="utf-8"?>
<ds:datastoreItem xmlns:ds="http://schemas.openxmlformats.org/officeDocument/2006/customXml" ds:itemID="{0A545C34-3D5D-44D0-98A3-939597EC100A}">
  <ds:schemaRefs>
    <ds:schemaRef ds:uri="http://schemas.microsoft.com/sharepoint/v3/contenttype/forms"/>
  </ds:schemaRefs>
</ds:datastoreItem>
</file>

<file path=customXml/itemProps2.xml><?xml version="1.0" encoding="utf-8"?>
<ds:datastoreItem xmlns:ds="http://schemas.openxmlformats.org/officeDocument/2006/customXml" ds:itemID="{1484A740-B9FA-4523-B8C8-9B59D95F86F1}">
  <ds:schemaRefs>
    <ds:schemaRef ds:uri="http://schemas.openxmlformats.org/officeDocument/2006/bibliography"/>
  </ds:schemaRefs>
</ds:datastoreItem>
</file>

<file path=customXml/itemProps3.xml><?xml version="1.0" encoding="utf-8"?>
<ds:datastoreItem xmlns:ds="http://schemas.openxmlformats.org/officeDocument/2006/customXml" ds:itemID="{2D599425-824A-4E63-92F6-148C787C99CD}">
  <ds:schemaRefs>
    <ds:schemaRef ds:uri="http://schemas.microsoft.com/office/2006/metadata/properties"/>
    <ds:schemaRef ds:uri="http://schemas.microsoft.com/office/infopath/2007/PartnerControls"/>
    <ds:schemaRef ds:uri="6c716158-b5e4-4d83-a7d1-d8cdf2bb7841"/>
    <ds:schemaRef ds:uri="0af283f9-293e-4176-b3ca-b8870eca8630"/>
  </ds:schemaRefs>
</ds:datastoreItem>
</file>

<file path=customXml/itemProps4.xml><?xml version="1.0" encoding="utf-8"?>
<ds:datastoreItem xmlns:ds="http://schemas.openxmlformats.org/officeDocument/2006/customXml" ds:itemID="{00AC5D18-ED4F-4248-9F95-1F46F2536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16158-b5e4-4d83-a7d1-d8cdf2bb7841"/>
    <ds:schemaRef ds:uri="0af283f9-293e-4176-b3ca-b8870eca8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006FB2-9216-9102-ACF2-B9768781F763}">
  <ds:schemaRefs>
    <ds:schemaRef ds:uri="urn:palmera:provenance"/>
  </ds:schemaRefs>
</ds:datastoreItem>
</file>

<file path=docProps/app.xml><?xml version="1.0" encoding="utf-8"?>
<Properties xmlns="http://schemas.openxmlformats.org/officeDocument/2006/extended-properties" xmlns:vt="http://schemas.openxmlformats.org/officeDocument/2006/docPropsVTypes">
  <Template>Normal.dotm</Template>
  <TotalTime>2065</TotalTime>
  <Application>Collabora_Office/25.04.9.4$Linux_X86_64 LibreOffice_project/1615a6d03ed35fe10029590103cafbaf560fbd3c</Application>
  <AppVersion>15.0000</AppVersion>
  <Pages>50</Pages>
  <Words>16447</Words>
  <Characters>93205</Characters>
  <CharactersWithSpaces>108603</CharactersWithSpaces>
  <Paragraphs>1410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2026-04-27T16:35:00Z</dcterms:created>
  <dc:creator/>
  <dc:description/>
  <dc:language>en-US</dc:language>
  <cp:lastModifiedBy/>
  <dcterms:modified xsi:type="dcterms:W3CDTF">2026-09-05T03:38:54Z</dcterms:modified>
  <cp:revision>1048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0x01010061AB00934614A144A4E7A8AE21B1FA05</vt:lpwstr>
  </property>
  <property fmtid="{D5CDD505-2E9C-101B-9397-08002B2CF9AE}" pid="3" name="MediaServiceImageTags">
    <vt:lpwstr/>
  </property>
</Properties>
</file>